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B1" w:rsidRPr="000112B1" w:rsidRDefault="000112B1" w:rsidP="000112B1">
      <w:pPr>
        <w:jc w:val="right"/>
        <w:outlineLvl w:val="0"/>
        <w:rPr>
          <w:b/>
          <w:color w:val="000000"/>
          <w:sz w:val="36"/>
        </w:rPr>
      </w:pPr>
      <w:bookmarkStart w:id="0" w:name="_GoBack"/>
      <w:bookmarkEnd w:id="0"/>
      <w:r w:rsidRPr="000112B1">
        <w:rPr>
          <w:b/>
          <w:color w:val="000000"/>
          <w:sz w:val="36"/>
        </w:rPr>
        <w:t>Bod č.</w:t>
      </w:r>
    </w:p>
    <w:p w:rsidR="004027B2" w:rsidRPr="000112B1" w:rsidRDefault="004027B2" w:rsidP="004027B2">
      <w:pPr>
        <w:jc w:val="center"/>
        <w:outlineLvl w:val="0"/>
        <w:rPr>
          <w:b/>
          <w:color w:val="000000"/>
          <w:sz w:val="36"/>
        </w:rPr>
      </w:pPr>
      <w:r w:rsidRPr="000112B1">
        <w:rPr>
          <w:b/>
          <w:color w:val="000000"/>
          <w:sz w:val="36"/>
        </w:rPr>
        <w:t>Zastupiteľstv</w:t>
      </w:r>
      <w:r w:rsidR="000112B1" w:rsidRPr="000112B1">
        <w:rPr>
          <w:b/>
          <w:color w:val="000000"/>
          <w:sz w:val="36"/>
        </w:rPr>
        <w:t>o</w:t>
      </w:r>
      <w:r w:rsidRPr="000112B1">
        <w:rPr>
          <w:b/>
          <w:color w:val="000000"/>
          <w:sz w:val="36"/>
        </w:rPr>
        <w:t xml:space="preserve"> Bratislavského samosprávneho kraja</w:t>
      </w:r>
    </w:p>
    <w:p w:rsidR="004027B2" w:rsidRDefault="004027B2" w:rsidP="004027B2">
      <w:pPr>
        <w:jc w:val="center"/>
        <w:rPr>
          <w:b/>
          <w:color w:val="000000"/>
          <w:szCs w:val="32"/>
        </w:rPr>
      </w:pPr>
    </w:p>
    <w:p w:rsidR="004027B2" w:rsidRDefault="004027B2" w:rsidP="004027B2">
      <w:pPr>
        <w:jc w:val="center"/>
        <w:rPr>
          <w:b/>
          <w:color w:val="000000"/>
          <w:szCs w:val="32"/>
        </w:rPr>
      </w:pPr>
    </w:p>
    <w:p w:rsidR="004027B2" w:rsidRDefault="004027B2" w:rsidP="004027B2">
      <w:pPr>
        <w:outlineLvl w:val="0"/>
        <w:rPr>
          <w:color w:val="000000"/>
          <w:sz w:val="22"/>
          <w:szCs w:val="24"/>
        </w:rPr>
      </w:pPr>
      <w:r>
        <w:rPr>
          <w:color w:val="000000"/>
          <w:sz w:val="22"/>
        </w:rPr>
        <w:t>Materiál na rokovanie Zastupiteľstva</w:t>
      </w:r>
    </w:p>
    <w:p w:rsidR="004027B2" w:rsidRDefault="004027B2" w:rsidP="004027B2">
      <w:pPr>
        <w:rPr>
          <w:color w:val="000000"/>
          <w:sz w:val="22"/>
        </w:rPr>
      </w:pPr>
      <w:r>
        <w:rPr>
          <w:color w:val="000000"/>
          <w:sz w:val="22"/>
        </w:rPr>
        <w:t>Bratislavského samosprávneho kraja</w:t>
      </w:r>
    </w:p>
    <w:p w:rsidR="000112B1" w:rsidRDefault="000112B1" w:rsidP="004027B2">
      <w:pPr>
        <w:rPr>
          <w:color w:val="000000"/>
          <w:sz w:val="22"/>
        </w:rPr>
      </w:pPr>
    </w:p>
    <w:p w:rsidR="000112B1" w:rsidRDefault="00DF4264" w:rsidP="004027B2">
      <w:pPr>
        <w:rPr>
          <w:color w:val="000000"/>
          <w:sz w:val="22"/>
        </w:rPr>
      </w:pPr>
      <w:r>
        <w:rPr>
          <w:color w:val="000000"/>
          <w:sz w:val="22"/>
        </w:rPr>
        <w:t>19</w:t>
      </w:r>
      <w:r w:rsidR="000112B1">
        <w:rPr>
          <w:color w:val="000000"/>
          <w:sz w:val="22"/>
        </w:rPr>
        <w:t xml:space="preserve">. </w:t>
      </w:r>
      <w:r>
        <w:rPr>
          <w:color w:val="000000"/>
          <w:sz w:val="22"/>
        </w:rPr>
        <w:t>apríla</w:t>
      </w:r>
      <w:r w:rsidR="000112B1">
        <w:rPr>
          <w:color w:val="000000"/>
          <w:sz w:val="22"/>
        </w:rPr>
        <w:t xml:space="preserve"> 201</w:t>
      </w:r>
      <w:r>
        <w:rPr>
          <w:color w:val="000000"/>
          <w:sz w:val="22"/>
        </w:rPr>
        <w:t>3</w:t>
      </w:r>
    </w:p>
    <w:p w:rsidR="004027B2" w:rsidRDefault="004027B2" w:rsidP="004027B2">
      <w:pPr>
        <w:rPr>
          <w:color w:val="000000"/>
          <w:sz w:val="22"/>
        </w:rPr>
      </w:pPr>
    </w:p>
    <w:p w:rsidR="004027B2" w:rsidRDefault="004027B2" w:rsidP="004027B2">
      <w:pPr>
        <w:rPr>
          <w:color w:val="000000"/>
        </w:rPr>
      </w:pPr>
    </w:p>
    <w:p w:rsidR="004027B2" w:rsidRDefault="004027B2" w:rsidP="004027B2">
      <w:pPr>
        <w:pStyle w:val="Normlnywebov"/>
        <w:spacing w:before="0" w:beforeAutospacing="0" w:after="0" w:afterAutospacing="0"/>
        <w:rPr>
          <w:rFonts w:ascii="Arial" w:hAnsi="Arial" w:cs="Arial"/>
          <w:color w:val="000000"/>
          <w:szCs w:val="20"/>
        </w:rPr>
      </w:pPr>
    </w:p>
    <w:p w:rsidR="004027B2" w:rsidRDefault="004027B2" w:rsidP="004027B2">
      <w:pPr>
        <w:rPr>
          <w:color w:val="000000"/>
        </w:rPr>
      </w:pPr>
    </w:p>
    <w:p w:rsidR="004027B2" w:rsidRDefault="004027B2" w:rsidP="004027B2">
      <w:pPr>
        <w:outlineLvl w:val="0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4027B2" w:rsidRDefault="004027B2" w:rsidP="004027B2">
      <w:pPr>
        <w:outlineLvl w:val="0"/>
        <w:rPr>
          <w:b/>
          <w:color w:val="000000"/>
        </w:rPr>
      </w:pPr>
    </w:p>
    <w:p w:rsidR="004027B2" w:rsidRDefault="004027B2" w:rsidP="004027B2">
      <w:pPr>
        <w:outlineLvl w:val="0"/>
        <w:rPr>
          <w:b/>
          <w:color w:val="000000"/>
        </w:rPr>
      </w:pPr>
    </w:p>
    <w:p w:rsidR="004027B2" w:rsidRDefault="004027B2" w:rsidP="004027B2">
      <w:pPr>
        <w:jc w:val="center"/>
        <w:rPr>
          <w:b/>
          <w:color w:val="000000"/>
        </w:rPr>
      </w:pPr>
    </w:p>
    <w:p w:rsidR="004027B2" w:rsidRDefault="004027B2" w:rsidP="004027B2">
      <w:pPr>
        <w:pStyle w:val="Nadpis8"/>
        <w:pBdr>
          <w:bottom w:val="none" w:sz="0" w:space="0" w:color="auto"/>
        </w:pBdr>
        <w:rPr>
          <w:bCs/>
          <w:color w:val="000000"/>
        </w:rPr>
      </w:pPr>
      <w:r>
        <w:rPr>
          <w:bCs/>
          <w:color w:val="000000"/>
        </w:rPr>
        <w:t>Správa</w:t>
      </w:r>
    </w:p>
    <w:p w:rsidR="004027B2" w:rsidRPr="00B1727F" w:rsidRDefault="004027B2" w:rsidP="004027B2"/>
    <w:p w:rsidR="004027B2" w:rsidRPr="00D70A5B" w:rsidRDefault="004027B2" w:rsidP="004027B2">
      <w:pPr>
        <w:pBdr>
          <w:bottom w:val="single" w:sz="12" w:space="1" w:color="auto"/>
        </w:pBdr>
        <w:suppressAutoHyphens/>
        <w:spacing w:line="276" w:lineRule="auto"/>
        <w:jc w:val="center"/>
        <w:outlineLvl w:val="0"/>
        <w:rPr>
          <w:rFonts w:eastAsia="Lucida Sans Unicode"/>
          <w:b/>
          <w:kern w:val="1"/>
          <w:szCs w:val="24"/>
          <w:lang w:eastAsia="ar-SA"/>
        </w:rPr>
      </w:pPr>
      <w:r w:rsidRPr="00D70A5B">
        <w:rPr>
          <w:rFonts w:eastAsia="Lucida Sans Unicode"/>
          <w:b/>
          <w:kern w:val="1"/>
          <w:szCs w:val="24"/>
          <w:lang w:eastAsia="ar-SA"/>
        </w:rPr>
        <w:t>o</w:t>
      </w:r>
      <w:r w:rsidR="00DF4264">
        <w:rPr>
          <w:rFonts w:eastAsia="Lucida Sans Unicode"/>
          <w:b/>
          <w:kern w:val="1"/>
          <w:szCs w:val="24"/>
          <w:lang w:eastAsia="ar-SA"/>
        </w:rPr>
        <w:t xml:space="preserve"> výsledku kontroly prijímania, evidovania a </w:t>
      </w:r>
      <w:r w:rsidRPr="00D70A5B">
        <w:rPr>
          <w:rFonts w:eastAsia="Lucida Sans Unicode"/>
          <w:b/>
          <w:kern w:val="1"/>
          <w:szCs w:val="24"/>
          <w:lang w:eastAsia="ar-SA"/>
        </w:rPr>
        <w:t>vybavovan</w:t>
      </w:r>
      <w:r w:rsidR="00DF4264">
        <w:rPr>
          <w:rFonts w:eastAsia="Lucida Sans Unicode"/>
          <w:b/>
          <w:kern w:val="1"/>
          <w:szCs w:val="24"/>
          <w:lang w:eastAsia="ar-SA"/>
        </w:rPr>
        <w:t>ia</w:t>
      </w:r>
      <w:r w:rsidRPr="00D70A5B">
        <w:rPr>
          <w:rFonts w:eastAsia="Lucida Sans Unicode"/>
          <w:b/>
          <w:kern w:val="1"/>
          <w:szCs w:val="24"/>
          <w:lang w:eastAsia="ar-SA"/>
        </w:rPr>
        <w:t xml:space="preserve"> sťažností a petícií na </w:t>
      </w:r>
    </w:p>
    <w:p w:rsidR="004027B2" w:rsidRDefault="00DF4264" w:rsidP="004027B2">
      <w:pPr>
        <w:keepNext/>
        <w:pBdr>
          <w:bottom w:val="single" w:sz="12" w:space="1" w:color="auto"/>
        </w:pBdr>
        <w:jc w:val="center"/>
        <w:outlineLvl w:val="2"/>
        <w:rPr>
          <w:b/>
          <w:szCs w:val="24"/>
        </w:rPr>
      </w:pPr>
      <w:r>
        <w:rPr>
          <w:b/>
          <w:szCs w:val="24"/>
        </w:rPr>
        <w:t>Ú</w:t>
      </w:r>
      <w:r w:rsidR="004027B2" w:rsidRPr="00D70A5B">
        <w:rPr>
          <w:b/>
          <w:szCs w:val="24"/>
        </w:rPr>
        <w:t>rade Bratislavského samosprávneho kraja za rok 201</w:t>
      </w:r>
      <w:r>
        <w:rPr>
          <w:b/>
          <w:szCs w:val="24"/>
        </w:rPr>
        <w:t>2</w:t>
      </w:r>
    </w:p>
    <w:p w:rsidR="004027B2" w:rsidRPr="00D70A5B" w:rsidRDefault="004027B2" w:rsidP="004027B2">
      <w:pPr>
        <w:keepNext/>
        <w:pBdr>
          <w:bottom w:val="single" w:sz="12" w:space="1" w:color="auto"/>
        </w:pBdr>
        <w:jc w:val="center"/>
        <w:outlineLvl w:val="2"/>
        <w:rPr>
          <w:b/>
          <w:szCs w:val="24"/>
        </w:rPr>
      </w:pPr>
    </w:p>
    <w:p w:rsidR="004027B2" w:rsidRDefault="004027B2" w:rsidP="004027B2"/>
    <w:p w:rsidR="004027B2" w:rsidRDefault="004027B2" w:rsidP="004027B2">
      <w:pPr>
        <w:rPr>
          <w:color w:val="000000"/>
        </w:rPr>
      </w:pPr>
    </w:p>
    <w:p w:rsidR="004027B2" w:rsidRDefault="004027B2" w:rsidP="004027B2">
      <w:pPr>
        <w:outlineLvl w:val="0"/>
        <w:rPr>
          <w:color w:val="000000"/>
          <w:u w:val="single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  <w:r w:rsidRPr="000112B1">
        <w:rPr>
          <w:sz w:val="22"/>
          <w:szCs w:val="22"/>
          <w:u w:val="single"/>
          <w:lang w:eastAsia="sk-SK"/>
        </w:rPr>
        <w:t>Materiál predkladá:</w:t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u w:val="single"/>
          <w:lang w:eastAsia="sk-SK"/>
        </w:rPr>
        <w:t>Materiál obsahuje:</w:t>
      </w: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  <w:r w:rsidRPr="000112B1">
        <w:rPr>
          <w:sz w:val="22"/>
          <w:szCs w:val="22"/>
          <w:lang w:eastAsia="sk-SK"/>
        </w:rPr>
        <w:t>Ing. Štefan Marušák</w:t>
      </w:r>
      <w:r w:rsidRPr="000112B1">
        <w:rPr>
          <w:sz w:val="22"/>
          <w:szCs w:val="22"/>
          <w:lang w:eastAsia="sk-SK"/>
        </w:rPr>
        <w:tab/>
        <w:t xml:space="preserve"> </w:t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  <w:t>1. Návrh uznesenia</w:t>
      </w:r>
    </w:p>
    <w:p w:rsidR="000112B1" w:rsidRDefault="000112B1" w:rsidP="000112B1">
      <w:pPr>
        <w:rPr>
          <w:sz w:val="22"/>
          <w:szCs w:val="22"/>
          <w:lang w:eastAsia="sk-SK"/>
        </w:rPr>
      </w:pPr>
      <w:r w:rsidRPr="000112B1">
        <w:rPr>
          <w:sz w:val="22"/>
          <w:szCs w:val="22"/>
          <w:lang w:eastAsia="sk-SK"/>
        </w:rPr>
        <w:t>hlavný kontrolór BSK</w:t>
      </w:r>
      <w:r w:rsidRPr="000112B1">
        <w:rPr>
          <w:sz w:val="22"/>
          <w:szCs w:val="22"/>
          <w:lang w:eastAsia="sk-SK"/>
        </w:rPr>
        <w:tab/>
        <w:t xml:space="preserve"> </w:t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  <w:t>2. Dôvodová správa</w:t>
      </w:r>
    </w:p>
    <w:p w:rsidR="001A2A99" w:rsidRDefault="001A2A99" w:rsidP="000112B1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  <w:t>3. Príloha č. 1</w:t>
      </w:r>
    </w:p>
    <w:p w:rsidR="001A2A99" w:rsidRPr="000112B1" w:rsidRDefault="001A2A99" w:rsidP="000112B1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  <w:t>4. Príloha č. 2</w:t>
      </w:r>
    </w:p>
    <w:p w:rsidR="000112B1" w:rsidRPr="000112B1" w:rsidRDefault="000112B1" w:rsidP="000112B1">
      <w:pPr>
        <w:rPr>
          <w:sz w:val="22"/>
          <w:szCs w:val="22"/>
          <w:lang w:eastAsia="sk-SK"/>
        </w:rPr>
      </w:pP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Pr="000112B1">
        <w:rPr>
          <w:sz w:val="22"/>
          <w:szCs w:val="22"/>
          <w:lang w:eastAsia="sk-SK"/>
        </w:rPr>
        <w:tab/>
      </w:r>
      <w:r w:rsidR="001A2A99">
        <w:rPr>
          <w:sz w:val="22"/>
          <w:szCs w:val="22"/>
          <w:lang w:eastAsia="sk-SK"/>
        </w:rPr>
        <w:t>5</w:t>
      </w:r>
      <w:r w:rsidRPr="000112B1">
        <w:rPr>
          <w:sz w:val="22"/>
          <w:szCs w:val="22"/>
          <w:lang w:eastAsia="sk-SK"/>
        </w:rPr>
        <w:t>. Stanoviská komisií</w:t>
      </w: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u w:val="single"/>
          <w:lang w:eastAsia="sk-SK"/>
        </w:rPr>
      </w:pPr>
      <w:r w:rsidRPr="000112B1">
        <w:rPr>
          <w:sz w:val="22"/>
          <w:szCs w:val="22"/>
          <w:u w:val="single"/>
          <w:lang w:eastAsia="sk-SK"/>
        </w:rPr>
        <w:t>Zodpovedný:</w:t>
      </w: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bCs/>
          <w:color w:val="000000"/>
          <w:sz w:val="22"/>
        </w:rPr>
      </w:pPr>
      <w:r w:rsidRPr="000112B1">
        <w:rPr>
          <w:bCs/>
          <w:color w:val="000000"/>
          <w:sz w:val="22"/>
        </w:rPr>
        <w:t xml:space="preserve">Ing. Bystrík Hollý </w:t>
      </w:r>
    </w:p>
    <w:p w:rsidR="000112B1" w:rsidRPr="000112B1" w:rsidRDefault="000112B1" w:rsidP="000112B1">
      <w:pPr>
        <w:rPr>
          <w:bCs/>
          <w:color w:val="000000"/>
          <w:sz w:val="22"/>
        </w:rPr>
      </w:pPr>
      <w:r w:rsidRPr="000112B1">
        <w:rPr>
          <w:bCs/>
          <w:color w:val="000000"/>
          <w:sz w:val="22"/>
        </w:rPr>
        <w:t>riaditeľ ÚHK</w:t>
      </w: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u w:val="single"/>
          <w:lang w:eastAsia="sk-SK"/>
        </w:rPr>
      </w:pPr>
      <w:r w:rsidRPr="000112B1">
        <w:rPr>
          <w:sz w:val="22"/>
          <w:szCs w:val="22"/>
          <w:u w:val="single"/>
          <w:lang w:eastAsia="sk-SK"/>
        </w:rPr>
        <w:t>Spracovateľ:</w:t>
      </w: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bCs/>
          <w:color w:val="000000"/>
          <w:sz w:val="22"/>
        </w:rPr>
      </w:pPr>
      <w:r w:rsidRPr="000112B1">
        <w:rPr>
          <w:bCs/>
          <w:color w:val="000000"/>
          <w:sz w:val="22"/>
        </w:rPr>
        <w:t>Mgr. Jozef Ďurčo</w:t>
      </w:r>
    </w:p>
    <w:p w:rsidR="000112B1" w:rsidRPr="000112B1" w:rsidRDefault="000112B1" w:rsidP="000112B1">
      <w:pPr>
        <w:rPr>
          <w:bCs/>
          <w:color w:val="000000"/>
          <w:sz w:val="22"/>
        </w:rPr>
      </w:pPr>
      <w:r w:rsidRPr="000112B1">
        <w:rPr>
          <w:bCs/>
          <w:color w:val="000000"/>
          <w:sz w:val="22"/>
        </w:rPr>
        <w:t>kontrolór BSK</w:t>
      </w: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rPr>
          <w:sz w:val="22"/>
          <w:szCs w:val="22"/>
          <w:lang w:eastAsia="sk-SK"/>
        </w:rPr>
      </w:pPr>
    </w:p>
    <w:p w:rsidR="000112B1" w:rsidRPr="000112B1" w:rsidRDefault="000112B1" w:rsidP="000112B1">
      <w:pPr>
        <w:jc w:val="center"/>
        <w:rPr>
          <w:sz w:val="22"/>
          <w:szCs w:val="22"/>
          <w:lang w:eastAsia="sk-SK"/>
        </w:rPr>
      </w:pPr>
      <w:r w:rsidRPr="000112B1">
        <w:rPr>
          <w:sz w:val="22"/>
          <w:szCs w:val="22"/>
          <w:lang w:eastAsia="sk-SK"/>
        </w:rPr>
        <w:t>Bratislava</w:t>
      </w:r>
    </w:p>
    <w:p w:rsidR="004027B2" w:rsidRPr="000112B1" w:rsidRDefault="00DF4264" w:rsidP="000112B1">
      <w:pPr>
        <w:jc w:val="center"/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apríl</w:t>
      </w:r>
      <w:r w:rsidR="000112B1">
        <w:rPr>
          <w:sz w:val="22"/>
          <w:szCs w:val="22"/>
          <w:lang w:eastAsia="sk-SK"/>
        </w:rPr>
        <w:t xml:space="preserve"> 201</w:t>
      </w:r>
      <w:r>
        <w:rPr>
          <w:sz w:val="22"/>
          <w:szCs w:val="22"/>
          <w:lang w:eastAsia="sk-SK"/>
        </w:rPr>
        <w:t>3</w:t>
      </w:r>
    </w:p>
    <w:p w:rsidR="009332CD" w:rsidRDefault="009332CD" w:rsidP="009332CD">
      <w:pPr>
        <w:jc w:val="center"/>
        <w:rPr>
          <w:szCs w:val="24"/>
        </w:rPr>
      </w:pPr>
      <w:r>
        <w:rPr>
          <w:szCs w:val="24"/>
        </w:rPr>
        <w:lastRenderedPageBreak/>
        <w:t>N á v r h  u z n e s e n i a</w:t>
      </w:r>
    </w:p>
    <w:p w:rsidR="009332CD" w:rsidRDefault="009332CD" w:rsidP="009332CD">
      <w:pPr>
        <w:rPr>
          <w:rFonts w:ascii="Calibri" w:hAnsi="Calibri" w:cs="font120"/>
          <w:sz w:val="22"/>
          <w:szCs w:val="22"/>
        </w:rPr>
      </w:pPr>
    </w:p>
    <w:p w:rsidR="009332CD" w:rsidRDefault="009332CD" w:rsidP="009332CD">
      <w:pPr>
        <w:rPr>
          <w:rFonts w:ascii="Calibri" w:hAnsi="Calibri" w:cs="font120"/>
          <w:sz w:val="22"/>
          <w:szCs w:val="22"/>
        </w:rPr>
      </w:pPr>
    </w:p>
    <w:p w:rsidR="009332CD" w:rsidRPr="00D70A5B" w:rsidRDefault="009332CD" w:rsidP="009332CD">
      <w:pPr>
        <w:suppressAutoHyphens/>
        <w:jc w:val="center"/>
        <w:rPr>
          <w:rFonts w:eastAsia="Lucida Sans Unicode"/>
          <w:kern w:val="1"/>
          <w:szCs w:val="24"/>
          <w:lang w:eastAsia="ar-SA"/>
        </w:rPr>
      </w:pPr>
      <w:r w:rsidRPr="00D70A5B">
        <w:rPr>
          <w:rFonts w:eastAsia="Lucida Sans Unicode"/>
          <w:kern w:val="1"/>
          <w:szCs w:val="24"/>
          <w:lang w:eastAsia="ar-SA"/>
        </w:rPr>
        <w:t xml:space="preserve">UZNESENIE č.  </w:t>
      </w:r>
      <w:r>
        <w:rPr>
          <w:rFonts w:eastAsia="Lucida Sans Unicode"/>
          <w:kern w:val="1"/>
          <w:szCs w:val="24"/>
          <w:lang w:eastAsia="ar-SA"/>
        </w:rPr>
        <w:t xml:space="preserve">....... </w:t>
      </w:r>
      <w:r w:rsidRPr="00D70A5B">
        <w:rPr>
          <w:rFonts w:eastAsia="Lucida Sans Unicode"/>
          <w:kern w:val="1"/>
          <w:szCs w:val="24"/>
          <w:lang w:eastAsia="ar-SA"/>
        </w:rPr>
        <w:t>/201</w:t>
      </w:r>
      <w:r>
        <w:rPr>
          <w:rFonts w:eastAsia="Lucida Sans Unicode"/>
          <w:kern w:val="1"/>
          <w:szCs w:val="24"/>
          <w:lang w:eastAsia="ar-SA"/>
        </w:rPr>
        <w:t>3</w:t>
      </w:r>
    </w:p>
    <w:p w:rsidR="009332CD" w:rsidRPr="00D70A5B" w:rsidRDefault="009332CD" w:rsidP="009332CD">
      <w:pPr>
        <w:suppressAutoHyphens/>
        <w:jc w:val="center"/>
        <w:rPr>
          <w:rFonts w:eastAsia="Lucida Sans Unicode"/>
          <w:kern w:val="1"/>
          <w:szCs w:val="24"/>
          <w:lang w:eastAsia="ar-SA"/>
        </w:rPr>
      </w:pPr>
      <w:r w:rsidRPr="00D70A5B">
        <w:rPr>
          <w:rFonts w:eastAsia="Lucida Sans Unicode"/>
          <w:kern w:val="1"/>
          <w:szCs w:val="24"/>
          <w:lang w:eastAsia="ar-SA"/>
        </w:rPr>
        <w:t>zo dňa </w:t>
      </w:r>
      <w:r>
        <w:rPr>
          <w:rFonts w:eastAsia="Lucida Sans Unicode"/>
          <w:kern w:val="1"/>
          <w:szCs w:val="24"/>
          <w:lang w:eastAsia="ar-SA"/>
        </w:rPr>
        <w:t>19. 04. 2013</w:t>
      </w:r>
    </w:p>
    <w:p w:rsidR="009332CD" w:rsidRDefault="009332CD" w:rsidP="009332CD">
      <w:pPr>
        <w:jc w:val="center"/>
        <w:rPr>
          <w:sz w:val="22"/>
        </w:rPr>
      </w:pPr>
    </w:p>
    <w:p w:rsidR="009332CD" w:rsidRDefault="009332CD" w:rsidP="009332CD">
      <w:pPr>
        <w:rPr>
          <w:rFonts w:ascii="Calibri" w:hAnsi="Calibri" w:cs="font120"/>
        </w:rPr>
      </w:pPr>
    </w:p>
    <w:p w:rsidR="009332CD" w:rsidRDefault="009332CD" w:rsidP="009332CD"/>
    <w:p w:rsidR="009332CD" w:rsidRPr="00E17178" w:rsidRDefault="009332CD" w:rsidP="009332CD">
      <w:pPr>
        <w:jc w:val="center"/>
        <w:outlineLvl w:val="0"/>
        <w:rPr>
          <w:sz w:val="22"/>
          <w:szCs w:val="22"/>
        </w:rPr>
      </w:pPr>
      <w:r w:rsidRPr="00E17178">
        <w:rPr>
          <w:sz w:val="22"/>
          <w:szCs w:val="22"/>
        </w:rPr>
        <w:t>Zastupiteľstvo Bratislavského samosprávneho kraja po prerokovaní materiálu</w:t>
      </w:r>
    </w:p>
    <w:p w:rsidR="009332CD" w:rsidRDefault="009332CD" w:rsidP="009332CD">
      <w:pPr>
        <w:pStyle w:val="Pta"/>
        <w:tabs>
          <w:tab w:val="left" w:pos="708"/>
        </w:tabs>
      </w:pPr>
    </w:p>
    <w:p w:rsidR="009332CD" w:rsidRDefault="009332CD" w:rsidP="009332CD">
      <w:pPr>
        <w:pStyle w:val="Pta"/>
        <w:tabs>
          <w:tab w:val="left" w:pos="708"/>
        </w:tabs>
      </w:pPr>
    </w:p>
    <w:p w:rsidR="009332CD" w:rsidRPr="00E17178" w:rsidRDefault="009332CD" w:rsidP="009332CD">
      <w:pPr>
        <w:pStyle w:val="Odsekzoznamu"/>
        <w:ind w:left="735"/>
        <w:jc w:val="center"/>
        <w:rPr>
          <w:b/>
          <w:bCs/>
          <w:szCs w:val="24"/>
        </w:rPr>
      </w:pPr>
      <w:r w:rsidRPr="00E17178">
        <w:rPr>
          <w:b/>
          <w:bCs/>
          <w:szCs w:val="24"/>
        </w:rPr>
        <w:t>b e r i e  n a  v e d o m i</w:t>
      </w:r>
      <w:r>
        <w:rPr>
          <w:b/>
          <w:bCs/>
          <w:szCs w:val="24"/>
        </w:rPr>
        <w:t> </w:t>
      </w:r>
      <w:r w:rsidRPr="00E17178">
        <w:rPr>
          <w:b/>
          <w:bCs/>
          <w:szCs w:val="24"/>
        </w:rPr>
        <w:t>e</w:t>
      </w:r>
    </w:p>
    <w:p w:rsidR="009332CD" w:rsidRPr="00E17178" w:rsidRDefault="009332CD" w:rsidP="009332CD">
      <w:pPr>
        <w:pStyle w:val="Odsekzoznamu"/>
        <w:ind w:left="735"/>
        <w:rPr>
          <w:b/>
          <w:bCs/>
          <w:szCs w:val="24"/>
        </w:rPr>
      </w:pPr>
    </w:p>
    <w:p w:rsidR="009332CD" w:rsidRDefault="009332CD" w:rsidP="009332CD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</w:rPr>
        <w:t>Správu o výsledku kontroly prijímania, evidovania a vybavovania sťažností a petícií na Úrade Bratislavského samosprávneho kraja za rok 2012.</w:t>
      </w: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jc w:val="center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jc w:val="center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jc w:val="center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rPr>
          <w:rFonts w:ascii="Arial" w:hAnsi="Arial" w:cs="Arial"/>
        </w:rPr>
      </w:pP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rPr>
          <w:rFonts w:ascii="Calibri" w:hAnsi="Calibri" w:cs="font120"/>
          <w:sz w:val="28"/>
          <w:szCs w:val="28"/>
        </w:rPr>
      </w:pPr>
    </w:p>
    <w:p w:rsidR="009332CD" w:rsidRDefault="009332CD" w:rsidP="009332CD">
      <w:pPr>
        <w:rPr>
          <w:sz w:val="28"/>
          <w:szCs w:val="28"/>
        </w:rPr>
      </w:pPr>
    </w:p>
    <w:p w:rsidR="009332CD" w:rsidRDefault="009332CD" w:rsidP="009332CD">
      <w:pPr>
        <w:rPr>
          <w:sz w:val="28"/>
          <w:szCs w:val="28"/>
        </w:rPr>
      </w:pPr>
    </w:p>
    <w:p w:rsidR="009332CD" w:rsidRDefault="009332CD" w:rsidP="009332CD">
      <w:pPr>
        <w:rPr>
          <w:sz w:val="28"/>
          <w:szCs w:val="28"/>
        </w:rPr>
      </w:pPr>
    </w:p>
    <w:p w:rsidR="009332CD" w:rsidRDefault="009332CD" w:rsidP="009332CD">
      <w:pPr>
        <w:rPr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 P R Á V A</w:t>
      </w: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 výsledku kontroly prijímania, evidovania a vybavovania sťažností a petícií</w:t>
      </w: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Úrade Bratislavského samosprávneho kraja za rok 2012</w:t>
      </w:r>
    </w:p>
    <w:p w:rsidR="009332CD" w:rsidRDefault="009332CD" w:rsidP="009332CD">
      <w:pPr>
        <w:pStyle w:val="Bezriadkovania1"/>
        <w:rPr>
          <w:rFonts w:ascii="Arial" w:hAnsi="Arial" w:cs="Arial"/>
          <w:b/>
        </w:rPr>
      </w:pPr>
    </w:p>
    <w:p w:rsidR="009332CD" w:rsidRPr="00705579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 w:rsidRPr="00705579">
        <w:rPr>
          <w:rFonts w:ascii="Arial" w:hAnsi="Arial" w:cs="Arial"/>
        </w:rPr>
        <w:t xml:space="preserve">V zmysle § 19c a § 19e ods. 1 písmena d) zákona č. 302/2001 Z. z. o samospráve vyšších územných celkov v znení neskorších predpisov a v súlade s čl. XVIII ods. 2 smernice č. 52/2010 o vybavovaní sťažností a petícií v podmienkach Bratislavského samosprávneho kraja predkladá hlavný kontrolór Bratislavského samosprávneho kraja </w:t>
      </w:r>
      <w:r>
        <w:rPr>
          <w:rFonts w:ascii="Arial" w:hAnsi="Arial" w:cs="Arial"/>
        </w:rPr>
        <w:t xml:space="preserve">(ďalej len „HK BSK“) </w:t>
      </w:r>
      <w:r w:rsidRPr="00705579">
        <w:rPr>
          <w:rFonts w:ascii="Arial" w:hAnsi="Arial" w:cs="Arial"/>
        </w:rPr>
        <w:t>správu o vybavovaní sťažností a petícií na Úrade Bratislavského samosprávneho kraja</w:t>
      </w:r>
      <w:r>
        <w:rPr>
          <w:rFonts w:ascii="Arial" w:hAnsi="Arial" w:cs="Arial"/>
        </w:rPr>
        <w:t xml:space="preserve"> (ďalej len „Ú BSK“)</w:t>
      </w:r>
      <w:r w:rsidRPr="00705579">
        <w:rPr>
          <w:rFonts w:ascii="Arial" w:hAnsi="Arial" w:cs="Arial"/>
        </w:rPr>
        <w:t xml:space="preserve"> za rok 201</w:t>
      </w:r>
      <w:r>
        <w:rPr>
          <w:rFonts w:ascii="Arial" w:hAnsi="Arial" w:cs="Arial"/>
        </w:rPr>
        <w:t>2</w:t>
      </w:r>
      <w:r w:rsidRPr="00705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705579">
        <w:rPr>
          <w:rFonts w:ascii="Arial" w:hAnsi="Arial" w:cs="Arial"/>
        </w:rPr>
        <w:t>astupiteľstvu Bratislavského samosprávneho kraja. Správa bola vypracovaná v súčinnosti s odbornými útvarmi Ú BSK prís</w:t>
      </w:r>
      <w:r>
        <w:rPr>
          <w:rFonts w:ascii="Arial" w:hAnsi="Arial" w:cs="Arial"/>
        </w:rPr>
        <w:t>lušnými na vybavenie sťažností.</w:t>
      </w:r>
    </w:p>
    <w:p w:rsidR="009332CD" w:rsidRPr="00705579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</w:p>
    <w:p w:rsidR="009332CD" w:rsidRPr="00705579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 w:rsidRPr="00705579">
        <w:rPr>
          <w:rFonts w:ascii="Arial" w:hAnsi="Arial" w:cs="Arial"/>
        </w:rPr>
        <w:t>Útvar hlavného kontrolóra BSK</w:t>
      </w:r>
      <w:r>
        <w:rPr>
          <w:rFonts w:ascii="Arial" w:hAnsi="Arial" w:cs="Arial"/>
        </w:rPr>
        <w:t xml:space="preserve"> (ďalej len „ÚHK“)</w:t>
      </w:r>
      <w:r w:rsidRPr="00705579">
        <w:rPr>
          <w:rFonts w:ascii="Arial" w:hAnsi="Arial" w:cs="Arial"/>
        </w:rPr>
        <w:t xml:space="preserve"> vykonal kontrolu</w:t>
      </w:r>
      <w:r w:rsidRPr="00705579">
        <w:rPr>
          <w:rFonts w:ascii="Arial" w:hAnsi="Arial" w:cs="Arial"/>
          <w:b/>
        </w:rPr>
        <w:t xml:space="preserve"> </w:t>
      </w:r>
      <w:r w:rsidRPr="00705579">
        <w:rPr>
          <w:rFonts w:ascii="Arial" w:hAnsi="Arial" w:cs="Arial"/>
        </w:rPr>
        <w:t>dodržiavania zákona č. 9/2010 Z. z. o sťažnostiach (ďalej len „zákon o sťažnostiach“), zákona č. 85/1990 Zb. o petičnom práve v znení neskorších predpisov (ďalej len „zákon o petičnom práve“), s</w:t>
      </w:r>
      <w:r w:rsidRPr="00705579">
        <w:rPr>
          <w:rFonts w:ascii="Arial" w:hAnsi="Arial" w:cs="Arial"/>
          <w:color w:val="000000"/>
          <w:lang w:eastAsia="sk-SK"/>
        </w:rPr>
        <w:t xml:space="preserve">mernice č. </w:t>
      </w:r>
      <w:r w:rsidRPr="00705579">
        <w:rPr>
          <w:rFonts w:ascii="Arial" w:hAnsi="Arial" w:cs="Arial"/>
        </w:rPr>
        <w:t>52/2010 o vybavovaní sťažností a petícií v podmienkach Bratislavského samosprávneho</w:t>
      </w:r>
      <w:r w:rsidRPr="00705579">
        <w:rPr>
          <w:rFonts w:ascii="Arial" w:hAnsi="Arial" w:cs="Arial"/>
          <w:b/>
        </w:rPr>
        <w:t xml:space="preserve"> </w:t>
      </w:r>
      <w:r w:rsidRPr="00705579">
        <w:rPr>
          <w:rFonts w:ascii="Arial" w:hAnsi="Arial" w:cs="Arial"/>
        </w:rPr>
        <w:t>kraja (ďalej len „smernica“) na Ú</w:t>
      </w:r>
      <w:r>
        <w:rPr>
          <w:rFonts w:ascii="Arial" w:hAnsi="Arial" w:cs="Arial"/>
        </w:rPr>
        <w:t xml:space="preserve"> </w:t>
      </w:r>
      <w:r w:rsidRPr="00705579">
        <w:rPr>
          <w:rFonts w:ascii="Arial" w:hAnsi="Arial" w:cs="Arial"/>
        </w:rPr>
        <w:t>BSK  za rok 201</w:t>
      </w:r>
      <w:r>
        <w:rPr>
          <w:rFonts w:ascii="Arial" w:hAnsi="Arial" w:cs="Arial"/>
        </w:rPr>
        <w:t>2</w:t>
      </w:r>
      <w:r w:rsidRPr="00705579">
        <w:rPr>
          <w:rFonts w:ascii="Arial" w:hAnsi="Arial" w:cs="Arial"/>
        </w:rPr>
        <w:t>.</w:t>
      </w:r>
    </w:p>
    <w:p w:rsidR="009332CD" w:rsidRPr="00705579" w:rsidRDefault="009332CD" w:rsidP="009332CD">
      <w:pPr>
        <w:pStyle w:val="Bezriadkovania1"/>
        <w:jc w:val="both"/>
        <w:rPr>
          <w:rFonts w:ascii="Arial" w:hAnsi="Arial" w:cs="Arial"/>
        </w:rPr>
      </w:pPr>
    </w:p>
    <w:p w:rsidR="009332CD" w:rsidRPr="00705579" w:rsidRDefault="009332CD" w:rsidP="009332CD">
      <w:pPr>
        <w:pStyle w:val="Bezriadkovania1"/>
        <w:jc w:val="both"/>
        <w:rPr>
          <w:rFonts w:ascii="Arial" w:hAnsi="Arial" w:cs="Arial"/>
        </w:rPr>
      </w:pPr>
      <w:r w:rsidRPr="00705579">
        <w:rPr>
          <w:rFonts w:ascii="Arial" w:hAnsi="Arial" w:cs="Arial"/>
        </w:rPr>
        <w:tab/>
        <w:t xml:space="preserve">Správa obsahuje prehľad o počte, kontrole prijímania, evidovania a vybavovania sťažností a petícií, charakteristike sťažností a rozbor vybavenia opodstatnených sťažností, pričom uvedené údaje sú spracované za odborné útvary </w:t>
      </w:r>
      <w:r>
        <w:rPr>
          <w:rFonts w:ascii="Arial" w:hAnsi="Arial" w:cs="Arial"/>
        </w:rPr>
        <w:t>Ú</w:t>
      </w:r>
      <w:r w:rsidRPr="00705579">
        <w:rPr>
          <w:rFonts w:ascii="Arial" w:hAnsi="Arial" w:cs="Arial"/>
        </w:rPr>
        <w:t xml:space="preserve"> BSK. Správa obsahuje údaje aj o iných podaniach (podnetoch, oznámeniach, dopytoch, žiadostiach a pod.), ktoré nemajú charakter sťažností a petícií. Údaje v správe sú uvedené k 31. 12. 201</w:t>
      </w:r>
      <w:r>
        <w:rPr>
          <w:rFonts w:ascii="Arial" w:hAnsi="Arial" w:cs="Arial"/>
        </w:rPr>
        <w:t>2</w:t>
      </w:r>
      <w:r w:rsidRPr="00705579">
        <w:rPr>
          <w:rFonts w:ascii="Arial" w:hAnsi="Arial" w:cs="Arial"/>
        </w:rPr>
        <w:t xml:space="preserve">. </w:t>
      </w:r>
      <w:r w:rsidRPr="00705579">
        <w:rPr>
          <w:rFonts w:ascii="Arial" w:hAnsi="Arial" w:cs="Arial"/>
        </w:rPr>
        <w:tab/>
      </w:r>
    </w:p>
    <w:p w:rsidR="009332CD" w:rsidRDefault="009332CD" w:rsidP="009332CD">
      <w:pPr>
        <w:pStyle w:val="Bezriadkovania1"/>
        <w:jc w:val="both"/>
        <w:rPr>
          <w:rFonts w:ascii="Arial" w:hAnsi="Arial" w:cs="Arial"/>
        </w:rPr>
      </w:pPr>
    </w:p>
    <w:p w:rsidR="009332CD" w:rsidRPr="00705579" w:rsidRDefault="009332CD" w:rsidP="009332CD">
      <w:pPr>
        <w:pStyle w:val="Bezriadkovania1"/>
        <w:jc w:val="both"/>
        <w:rPr>
          <w:rFonts w:ascii="Arial" w:hAnsi="Arial" w:cs="Arial"/>
        </w:rPr>
      </w:pPr>
    </w:p>
    <w:p w:rsidR="009332CD" w:rsidRDefault="009332CD" w:rsidP="009332CD">
      <w:pPr>
        <w:pStyle w:val="Bezriadkovania1"/>
        <w:numPr>
          <w:ilvl w:val="0"/>
          <w:numId w:val="1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Evidencia sťažností, petícií a podaní </w:t>
      </w:r>
    </w:p>
    <w:p w:rsidR="009332CD" w:rsidRDefault="009332CD" w:rsidP="009332CD">
      <w:pPr>
        <w:ind w:firstLine="360"/>
        <w:jc w:val="both"/>
      </w:pPr>
    </w:p>
    <w:p w:rsidR="009332CD" w:rsidRDefault="009332CD" w:rsidP="009332CD">
      <w:pPr>
        <w:pStyle w:val="Bezriadkovania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</w:rPr>
        <w:t xml:space="preserve">ÚBSK v priebehu roka 2012 zaevidoval v registratúrnom denníku 223 podaní fyzických a právnických osôb, z ktorých bolo 32 sťažností, 6 petícií a 185 iných podaní, na ktoré sa zákon o sťažnostiach nevzťahuje, ich vybavovanie je upravené osobitnými právnymi predpismi. </w:t>
      </w:r>
    </w:p>
    <w:p w:rsidR="009332CD" w:rsidRDefault="009332CD" w:rsidP="009332CD">
      <w:pPr>
        <w:pStyle w:val="Bezriadkovania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332CD" w:rsidRDefault="009332CD" w:rsidP="009332CD">
      <w:pPr>
        <w:pStyle w:val="Bezriadkovania1"/>
        <w:jc w:val="center"/>
        <w:rPr>
          <w:rFonts w:ascii="Arial" w:hAnsi="Arial" w:cs="Arial"/>
        </w:rPr>
      </w:pPr>
      <w:r>
        <w:rPr>
          <w:noProof/>
          <w:lang w:eastAsia="sk-SK"/>
        </w:rPr>
        <w:drawing>
          <wp:inline distT="0" distB="0" distL="0" distR="0" wp14:anchorId="6694B77E" wp14:editId="7250545B">
            <wp:extent cx="3140015" cy="1889185"/>
            <wp:effectExtent l="0" t="0" r="22860" b="1587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332CD" w:rsidRDefault="009332CD" w:rsidP="009332CD">
      <w:pPr>
        <w:pStyle w:val="Bezriadkovania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</w:p>
    <w:p w:rsidR="009332CD" w:rsidRDefault="009332CD" w:rsidP="009332CD">
      <w:pPr>
        <w:pStyle w:val="Bezriadkovania1"/>
        <w:jc w:val="both"/>
        <w:rPr>
          <w:rFonts w:ascii="Arial" w:hAnsi="Arial" w:cs="Arial"/>
        </w:rPr>
      </w:pPr>
    </w:p>
    <w:p w:rsidR="009332CD" w:rsidRDefault="009332CD" w:rsidP="009332CD">
      <w:pPr>
        <w:ind w:firstLine="708"/>
        <w:jc w:val="both"/>
        <w:rPr>
          <w:sz w:val="22"/>
          <w:szCs w:val="22"/>
        </w:rPr>
      </w:pPr>
      <w:r w:rsidRPr="00E3650B">
        <w:rPr>
          <w:sz w:val="22"/>
          <w:szCs w:val="22"/>
        </w:rPr>
        <w:t>Evidencia prijímania a  vybavovania sťažností a</w:t>
      </w:r>
      <w:r>
        <w:rPr>
          <w:sz w:val="22"/>
          <w:szCs w:val="22"/>
        </w:rPr>
        <w:t> </w:t>
      </w:r>
      <w:r w:rsidRPr="00E3650B">
        <w:rPr>
          <w:sz w:val="22"/>
          <w:szCs w:val="22"/>
        </w:rPr>
        <w:t>petícií sa viedla do 31. 10. 2012 v centrálnej evidencii</w:t>
      </w:r>
      <w:r>
        <w:rPr>
          <w:sz w:val="22"/>
          <w:szCs w:val="22"/>
        </w:rPr>
        <w:t xml:space="preserve"> sťažností a petícií (ďalej len „centrálna evidencia“)</w:t>
      </w:r>
      <w:r w:rsidRPr="00E3650B">
        <w:rPr>
          <w:sz w:val="22"/>
          <w:szCs w:val="22"/>
        </w:rPr>
        <w:t xml:space="preserve"> na </w:t>
      </w:r>
      <w:r>
        <w:rPr>
          <w:sz w:val="22"/>
          <w:szCs w:val="22"/>
        </w:rPr>
        <w:t>ÚHK</w:t>
      </w:r>
      <w:r w:rsidRPr="00E3650B">
        <w:rPr>
          <w:sz w:val="22"/>
          <w:szCs w:val="22"/>
        </w:rPr>
        <w:t>. Na základe úlohy z uznesenia Zastupiteľstva Bratislavského samosprávneho kraja č. 30/2012 z 30. 3. 2012, interným listom</w:t>
      </w:r>
      <w:r>
        <w:rPr>
          <w:sz w:val="22"/>
          <w:szCs w:val="22"/>
        </w:rPr>
        <w:t xml:space="preserve"> z</w:t>
      </w:r>
      <w:r w:rsidRPr="00E3650B">
        <w:rPr>
          <w:sz w:val="22"/>
          <w:szCs w:val="22"/>
        </w:rPr>
        <w:t xml:space="preserve"> 8. 10. 2012 riaditeľ </w:t>
      </w:r>
      <w:r>
        <w:rPr>
          <w:sz w:val="22"/>
          <w:szCs w:val="22"/>
        </w:rPr>
        <w:t>Ú</w:t>
      </w:r>
      <w:r w:rsidRPr="00E3650B">
        <w:rPr>
          <w:sz w:val="22"/>
          <w:szCs w:val="22"/>
        </w:rPr>
        <w:t xml:space="preserve">BSK požiadal </w:t>
      </w:r>
      <w:r>
        <w:rPr>
          <w:sz w:val="22"/>
          <w:szCs w:val="22"/>
        </w:rPr>
        <w:t>HK</w:t>
      </w:r>
      <w:r w:rsidRPr="00E3650B">
        <w:rPr>
          <w:sz w:val="22"/>
          <w:szCs w:val="22"/>
        </w:rPr>
        <w:t xml:space="preserve"> BSK o odovzdanie agendy centrálnej evidencie do pôsobnosti Ú</w:t>
      </w:r>
      <w:r>
        <w:rPr>
          <w:sz w:val="22"/>
          <w:szCs w:val="22"/>
        </w:rPr>
        <w:t xml:space="preserve"> </w:t>
      </w:r>
      <w:r w:rsidRPr="00E3650B">
        <w:rPr>
          <w:sz w:val="22"/>
          <w:szCs w:val="22"/>
        </w:rPr>
        <w:t>BSK k 31. 10. 2012</w:t>
      </w:r>
      <w:r>
        <w:rPr>
          <w:sz w:val="22"/>
          <w:szCs w:val="22"/>
        </w:rPr>
        <w:t xml:space="preserve"> a od 1. 11. 2012 je centrálna evidencia vedená na </w:t>
      </w:r>
      <w:r w:rsidRPr="00E3650B">
        <w:rPr>
          <w:sz w:val="22"/>
          <w:szCs w:val="22"/>
        </w:rPr>
        <w:t>útvar</w:t>
      </w:r>
      <w:r>
        <w:rPr>
          <w:sz w:val="22"/>
          <w:szCs w:val="22"/>
        </w:rPr>
        <w:t>e</w:t>
      </w:r>
      <w:r w:rsidRPr="00E3650B">
        <w:rPr>
          <w:sz w:val="22"/>
          <w:szCs w:val="22"/>
        </w:rPr>
        <w:t xml:space="preserve"> riaditeľa Ú</w:t>
      </w:r>
      <w:r>
        <w:rPr>
          <w:sz w:val="22"/>
          <w:szCs w:val="22"/>
        </w:rPr>
        <w:t xml:space="preserve"> </w:t>
      </w:r>
      <w:r w:rsidRPr="00E3650B">
        <w:rPr>
          <w:sz w:val="22"/>
          <w:szCs w:val="22"/>
        </w:rPr>
        <w:t>BSK.</w:t>
      </w:r>
    </w:p>
    <w:p w:rsidR="009332CD" w:rsidRDefault="009332CD" w:rsidP="009332CD">
      <w:pPr>
        <w:ind w:firstLine="708"/>
        <w:jc w:val="both"/>
        <w:rPr>
          <w:rFonts w:cs="Times New Roman"/>
          <w:sz w:val="22"/>
          <w:szCs w:val="22"/>
        </w:rPr>
      </w:pPr>
      <w:r w:rsidRPr="0095422B">
        <w:rPr>
          <w:rFonts w:cs="Times New Roman"/>
          <w:sz w:val="22"/>
          <w:szCs w:val="22"/>
        </w:rPr>
        <w:lastRenderedPageBreak/>
        <w:t>Centrálna evidencia je vedená v</w:t>
      </w:r>
      <w:r>
        <w:rPr>
          <w:rFonts w:cs="Times New Roman"/>
          <w:sz w:val="22"/>
          <w:szCs w:val="22"/>
        </w:rPr>
        <w:t> zmysle</w:t>
      </w:r>
      <w:r w:rsidRPr="0095422B">
        <w:rPr>
          <w:rFonts w:cs="Times New Roman"/>
          <w:sz w:val="22"/>
          <w:szCs w:val="22"/>
        </w:rPr>
        <w:t xml:space="preserve"> čl. VI smernice oddelene od evidencie ostatných písomností a obsahuje všetky požadované údaje podľa čl. VI ods. 1 smernice. </w:t>
      </w:r>
      <w:r>
        <w:rPr>
          <w:rFonts w:cs="Times New Roman"/>
          <w:sz w:val="22"/>
          <w:szCs w:val="22"/>
        </w:rPr>
        <w:t>V centrálnej evidencii bolo v roku 2012 zaevidovaných 32 sťažností a 6 petícií.</w:t>
      </w:r>
    </w:p>
    <w:p w:rsidR="009332CD" w:rsidRPr="00E13FC1" w:rsidRDefault="009332CD" w:rsidP="009332CD">
      <w:pPr>
        <w:ind w:firstLine="708"/>
        <w:jc w:val="both"/>
        <w:rPr>
          <w:rFonts w:cs="Times New Roman"/>
          <w:sz w:val="22"/>
          <w:szCs w:val="22"/>
        </w:rPr>
      </w:pPr>
    </w:p>
    <w:p w:rsidR="009332CD" w:rsidRDefault="009332CD" w:rsidP="009332CD">
      <w:pPr>
        <w:pStyle w:val="Bezriadkovania1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Kontrola prijímania, evidovania a vybavovania sťažností</w:t>
      </w: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 kontrole súladu centrálnej evidencie s údajmi uvedenými v registratúrnom denníku došlých záznamov a s jednotlivými záznamami na organizačných útvaroch Ú BSK ako aj kontroly vybavovania sťažností neboli zistené nedostatky.</w:t>
      </w: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 výsledku kontroly prešetrovania a vybavovania sťažností odbornými útvarmi Ú BSK vyplýva, že:</w:t>
      </w: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</w:p>
    <w:p w:rsidR="009332CD" w:rsidRDefault="009332CD" w:rsidP="009332CD">
      <w:pPr>
        <w:pStyle w:val="Odsekzoznamu"/>
        <w:numPr>
          <w:ilvl w:val="0"/>
          <w:numId w:val="1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v centrálnej evidencii z celkového počtu zaevidovaných </w:t>
      </w:r>
      <w:r w:rsidRPr="006F7F10">
        <w:rPr>
          <w:rFonts w:cs="Times New Roman"/>
          <w:sz w:val="22"/>
          <w:szCs w:val="22"/>
        </w:rPr>
        <w:t>32 sťažností</w:t>
      </w:r>
      <w:r>
        <w:rPr>
          <w:rFonts w:cs="Times New Roman"/>
          <w:sz w:val="22"/>
          <w:szCs w:val="22"/>
        </w:rPr>
        <w:t xml:space="preserve"> </w:t>
      </w:r>
      <w:r w:rsidRPr="006F7F10">
        <w:rPr>
          <w:rFonts w:cs="Times New Roman"/>
          <w:sz w:val="22"/>
          <w:szCs w:val="22"/>
        </w:rPr>
        <w:t>je 6 anonymných sťažností. Tieto sťažnosti neobsahujú meno, priezvisko, adresu trvalého bydliska a podpis, a to znamená, že nespĺňajú podmienky podľa § 5 ods. 2 a 3 zák</w:t>
      </w:r>
      <w:r>
        <w:rPr>
          <w:rFonts w:cs="Times New Roman"/>
          <w:sz w:val="22"/>
          <w:szCs w:val="22"/>
        </w:rPr>
        <w:t xml:space="preserve">ona o sťažnostiach. Preto boli </w:t>
      </w:r>
      <w:r w:rsidRPr="006F7F10">
        <w:rPr>
          <w:rFonts w:cs="Times New Roman"/>
          <w:sz w:val="22"/>
          <w:szCs w:val="22"/>
        </w:rPr>
        <w:t>3 sťažnosti odložené v súlade s § 6 ods. 1 písm. a) a 3 boli na základe § 9 zákona o sťažnostiach postúpené inému orgánu z hľadiska v</w:t>
      </w:r>
      <w:r>
        <w:rPr>
          <w:rFonts w:cs="Times New Roman"/>
          <w:sz w:val="22"/>
          <w:szCs w:val="22"/>
        </w:rPr>
        <w:t>ecnej príslušnosti na vybavenie.</w:t>
      </w:r>
    </w:p>
    <w:p w:rsidR="009332CD" w:rsidRDefault="009332CD" w:rsidP="009332CD">
      <w:pPr>
        <w:pStyle w:val="Odsekzoznamu"/>
        <w:jc w:val="both"/>
        <w:rPr>
          <w:rFonts w:cs="Times New Roman"/>
          <w:sz w:val="22"/>
          <w:szCs w:val="22"/>
        </w:rPr>
      </w:pPr>
    </w:p>
    <w:p w:rsidR="009332CD" w:rsidRPr="00811F12" w:rsidRDefault="009332CD" w:rsidP="009332CD"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 </w:t>
      </w:r>
      <w:r w:rsidRPr="00811F12">
        <w:rPr>
          <w:sz w:val="22"/>
          <w:szCs w:val="22"/>
        </w:rPr>
        <w:t xml:space="preserve">BSK v súlade s § 6 ods. 1 písm. a), g) a h) zákona o sťažnostiach 5 sťažností odložil, </w:t>
      </w:r>
      <w:r>
        <w:rPr>
          <w:sz w:val="22"/>
          <w:szCs w:val="22"/>
        </w:rPr>
        <w:t>dôvody odloženia</w:t>
      </w:r>
      <w:r w:rsidRPr="00811F12">
        <w:rPr>
          <w:sz w:val="22"/>
          <w:szCs w:val="22"/>
        </w:rPr>
        <w:t xml:space="preserve"> 3 sťažností (anonymné) sú uvedené </w:t>
      </w:r>
      <w:r>
        <w:rPr>
          <w:sz w:val="22"/>
          <w:szCs w:val="22"/>
        </w:rPr>
        <w:t>pod písmenom a)</w:t>
      </w:r>
      <w:r w:rsidRPr="00811F12">
        <w:rPr>
          <w:sz w:val="22"/>
          <w:szCs w:val="22"/>
        </w:rPr>
        <w:t xml:space="preserve">, v jednom prípade z dôvodu, že sťažnosť bola Úradu BSK zaslaná na vedomie (§ 6 ods. 1 písm. g) a v jednom prípade sťažovateľka neposkytla spoluprácu (§ 6 ods. 1 písm. h), nereagovala </w:t>
      </w:r>
      <w:r>
        <w:rPr>
          <w:sz w:val="22"/>
          <w:szCs w:val="22"/>
        </w:rPr>
        <w:t>na výzvu na doplnenie sťažnosti.</w:t>
      </w:r>
    </w:p>
    <w:p w:rsidR="009332CD" w:rsidRPr="00811F12" w:rsidRDefault="009332CD" w:rsidP="009332CD">
      <w:pPr>
        <w:pStyle w:val="Odsekzoznamu"/>
        <w:rPr>
          <w:sz w:val="22"/>
          <w:szCs w:val="22"/>
        </w:rPr>
      </w:pPr>
    </w:p>
    <w:p w:rsidR="009332CD" w:rsidRPr="00811F12" w:rsidRDefault="009332CD" w:rsidP="009332CD"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11F12">
        <w:rPr>
          <w:sz w:val="22"/>
          <w:szCs w:val="22"/>
        </w:rPr>
        <w:t xml:space="preserve"> celkového počtu sťažností 1 sťažnosť bola opodstatnená a 6 </w:t>
      </w:r>
      <w:r>
        <w:rPr>
          <w:sz w:val="22"/>
          <w:szCs w:val="22"/>
        </w:rPr>
        <w:t xml:space="preserve">sťažností neopodstatnených, o výsledku prešetrenia boli sťažovatelia vyrozumení. </w:t>
      </w:r>
      <w:r w:rsidRPr="00811F12">
        <w:rPr>
          <w:sz w:val="22"/>
          <w:szCs w:val="22"/>
        </w:rPr>
        <w:t xml:space="preserve"> Opodstatnená sťažnosť bola prešetrovaná na oddelení správy maje</w:t>
      </w:r>
      <w:r>
        <w:rPr>
          <w:sz w:val="22"/>
          <w:szCs w:val="22"/>
        </w:rPr>
        <w:t xml:space="preserve">tku. Sťažnosť smerovala proti konaniu Polikliniky v Karlovej Vsi vo veci zrušenia nájomnej zmluvy. </w:t>
      </w:r>
    </w:p>
    <w:p w:rsidR="009332CD" w:rsidRPr="00811F12" w:rsidRDefault="009332CD" w:rsidP="009332CD">
      <w:pPr>
        <w:pStyle w:val="Odsekzoznamu"/>
        <w:rPr>
          <w:sz w:val="22"/>
          <w:szCs w:val="22"/>
        </w:rPr>
      </w:pPr>
    </w:p>
    <w:p w:rsidR="009332CD" w:rsidRPr="00811F12" w:rsidRDefault="009332CD" w:rsidP="009332CD">
      <w:pPr>
        <w:numPr>
          <w:ilvl w:val="0"/>
          <w:numId w:val="11"/>
        </w:numPr>
        <w:jc w:val="both"/>
        <w:rPr>
          <w:sz w:val="22"/>
          <w:szCs w:val="22"/>
        </w:rPr>
      </w:pPr>
      <w:r w:rsidRPr="00811F12">
        <w:rPr>
          <w:sz w:val="22"/>
          <w:szCs w:val="22"/>
        </w:rPr>
        <w:t>Ú</w:t>
      </w:r>
      <w:r>
        <w:rPr>
          <w:sz w:val="22"/>
          <w:szCs w:val="22"/>
        </w:rPr>
        <w:t xml:space="preserve"> BSK v prípade 11 sťažností</w:t>
      </w:r>
      <w:r w:rsidRPr="00811F12">
        <w:rPr>
          <w:sz w:val="22"/>
          <w:szCs w:val="22"/>
        </w:rPr>
        <w:t xml:space="preserve"> nebol na vybavenie príslušný, preto jeho </w:t>
      </w:r>
      <w:r>
        <w:rPr>
          <w:sz w:val="22"/>
          <w:szCs w:val="22"/>
        </w:rPr>
        <w:t>odborné</w:t>
      </w:r>
      <w:r w:rsidRPr="00811F12">
        <w:rPr>
          <w:sz w:val="22"/>
          <w:szCs w:val="22"/>
        </w:rPr>
        <w:t xml:space="preserve"> útvary v súlade s § 9 zákona o sťažnostiach postúpili sťažnosti vecne príslušným orgánom na vybavenie a zároveň o tom upovedomili sťažovateľa. Medzi týmito sťažnosťami sú zahrnuté aj 3 anonymné sťažnosti</w:t>
      </w:r>
      <w:r>
        <w:rPr>
          <w:sz w:val="22"/>
          <w:szCs w:val="22"/>
        </w:rPr>
        <w:t>.</w:t>
      </w:r>
    </w:p>
    <w:p w:rsidR="009332CD" w:rsidRPr="00811F12" w:rsidRDefault="009332CD" w:rsidP="009332CD">
      <w:pPr>
        <w:pStyle w:val="Odsekzoznamu"/>
        <w:rPr>
          <w:sz w:val="22"/>
          <w:szCs w:val="22"/>
        </w:rPr>
      </w:pPr>
    </w:p>
    <w:p w:rsidR="009332CD" w:rsidRPr="00811F12" w:rsidRDefault="009332CD" w:rsidP="009332CD">
      <w:pPr>
        <w:numPr>
          <w:ilvl w:val="0"/>
          <w:numId w:val="11"/>
        </w:numPr>
        <w:jc w:val="both"/>
        <w:rPr>
          <w:sz w:val="22"/>
          <w:szCs w:val="22"/>
        </w:rPr>
      </w:pPr>
      <w:r w:rsidRPr="00811F12">
        <w:rPr>
          <w:sz w:val="22"/>
          <w:szCs w:val="22"/>
        </w:rPr>
        <w:t>Ú</w:t>
      </w:r>
      <w:r>
        <w:rPr>
          <w:sz w:val="22"/>
          <w:szCs w:val="22"/>
        </w:rPr>
        <w:t xml:space="preserve"> </w:t>
      </w:r>
      <w:r w:rsidRPr="00811F12">
        <w:rPr>
          <w:sz w:val="22"/>
          <w:szCs w:val="22"/>
        </w:rPr>
        <w:t>BSK 4 podania zaevidované v centrálnej evidencii</w:t>
      </w:r>
      <w:r>
        <w:rPr>
          <w:sz w:val="22"/>
          <w:szCs w:val="22"/>
        </w:rPr>
        <w:t xml:space="preserve"> ako sťažnosť vybavoval podľa § </w:t>
      </w:r>
      <w:r w:rsidRPr="00811F12">
        <w:rPr>
          <w:sz w:val="22"/>
          <w:szCs w:val="22"/>
        </w:rPr>
        <w:t>4 ods. 1 písm. c) zákona o sťažnostiach ako podanie, z obsahu ktorého nie je možné stanoviť, že je to sťažnosť v zmysle zákona o sťažnostiach, ale sťažnosť podľa osobitného predpisu, t. j. Zákonníka práce a zákona č. 211/2000 Z. z. o slobodnom prístupe k informáciám a o zmene a doplnení niektorých zákon</w:t>
      </w:r>
      <w:r>
        <w:rPr>
          <w:sz w:val="22"/>
          <w:szCs w:val="22"/>
        </w:rPr>
        <w:t>ov v znení neskorších predpisov.</w:t>
      </w:r>
    </w:p>
    <w:p w:rsidR="009332CD" w:rsidRPr="00811F12" w:rsidRDefault="009332CD" w:rsidP="009332CD">
      <w:pPr>
        <w:pStyle w:val="Odsekzoznamu"/>
        <w:rPr>
          <w:sz w:val="22"/>
          <w:szCs w:val="22"/>
        </w:rPr>
      </w:pPr>
    </w:p>
    <w:p w:rsidR="009332CD" w:rsidRPr="00811F12" w:rsidRDefault="009332CD" w:rsidP="009332CD">
      <w:pPr>
        <w:numPr>
          <w:ilvl w:val="0"/>
          <w:numId w:val="11"/>
        </w:numPr>
        <w:jc w:val="both"/>
        <w:rPr>
          <w:sz w:val="22"/>
          <w:szCs w:val="22"/>
        </w:rPr>
      </w:pPr>
      <w:r w:rsidRPr="00811F12">
        <w:rPr>
          <w:sz w:val="22"/>
          <w:szCs w:val="22"/>
        </w:rPr>
        <w:t>ÚBSK k 31. 12. 2012 mal 4 sťažnosti v lehote  vybavovania. Odbor školstva 1 podanie zaevidované v centrálnej evidencií ako sťažnosť vrátil v súlade s § 4 ods. 3 zákona o sťažnostiach z dôvodu, že má charakter vyjadrenia názoru a poukazuje na nedostatky v činnosti školy (nie je uvedený ani názov a adresa šk</w:t>
      </w:r>
      <w:r>
        <w:rPr>
          <w:sz w:val="22"/>
          <w:szCs w:val="22"/>
        </w:rPr>
        <w:t>oly), a preto podľa § </w:t>
      </w:r>
      <w:r w:rsidRPr="00811F12">
        <w:rPr>
          <w:sz w:val="22"/>
          <w:szCs w:val="22"/>
        </w:rPr>
        <w:t>4 ods. 1 písm. a) a b) nejde o</w:t>
      </w:r>
      <w:r>
        <w:rPr>
          <w:sz w:val="22"/>
          <w:szCs w:val="22"/>
        </w:rPr>
        <w:t> </w:t>
      </w:r>
      <w:r w:rsidRPr="00811F12">
        <w:rPr>
          <w:sz w:val="22"/>
          <w:szCs w:val="22"/>
        </w:rPr>
        <w:t>sťažnosť</w:t>
      </w:r>
      <w:r>
        <w:rPr>
          <w:sz w:val="22"/>
          <w:szCs w:val="22"/>
        </w:rPr>
        <w:t>,</w:t>
      </w:r>
    </w:p>
    <w:p w:rsidR="009332CD" w:rsidRPr="00811F12" w:rsidRDefault="009332CD" w:rsidP="009332CD">
      <w:pPr>
        <w:pStyle w:val="Odsekzoznamu"/>
        <w:rPr>
          <w:sz w:val="22"/>
          <w:szCs w:val="22"/>
        </w:rPr>
      </w:pPr>
    </w:p>
    <w:p w:rsidR="009332CD" w:rsidRPr="00811F12" w:rsidRDefault="009332CD" w:rsidP="009332CD">
      <w:pPr>
        <w:numPr>
          <w:ilvl w:val="0"/>
          <w:numId w:val="11"/>
        </w:numPr>
        <w:jc w:val="both"/>
        <w:rPr>
          <w:sz w:val="22"/>
          <w:szCs w:val="22"/>
        </w:rPr>
      </w:pPr>
      <w:r w:rsidRPr="00811F12">
        <w:rPr>
          <w:sz w:val="22"/>
          <w:szCs w:val="22"/>
        </w:rPr>
        <w:t>Sumárne výsledky z kontroly vybavovania sťažností a petícií na Ú</w:t>
      </w:r>
      <w:r>
        <w:rPr>
          <w:sz w:val="22"/>
          <w:szCs w:val="22"/>
        </w:rPr>
        <w:t xml:space="preserve"> BSK</w:t>
      </w:r>
      <w:r w:rsidRPr="00811F12">
        <w:rPr>
          <w:sz w:val="22"/>
          <w:szCs w:val="22"/>
        </w:rPr>
        <w:t xml:space="preserve"> v členení podľa organizačných útvarov Ú BSK sú</w:t>
      </w:r>
      <w:r>
        <w:rPr>
          <w:sz w:val="22"/>
          <w:szCs w:val="22"/>
        </w:rPr>
        <w:t xml:space="preserve"> uvedené v tabuľke č. 1.</w:t>
      </w:r>
    </w:p>
    <w:p w:rsidR="009332CD" w:rsidRDefault="009332CD" w:rsidP="009332CD">
      <w:pPr>
        <w:ind w:left="720"/>
        <w:jc w:val="both"/>
        <w:rPr>
          <w:rFonts w:cs="Times New Roman"/>
          <w:szCs w:val="24"/>
        </w:rPr>
      </w:pPr>
    </w:p>
    <w:p w:rsidR="009332CD" w:rsidRPr="0056508B" w:rsidRDefault="009332CD" w:rsidP="009332CD">
      <w:pPr>
        <w:ind w:left="720"/>
        <w:jc w:val="both"/>
        <w:rPr>
          <w:rFonts w:cs="Times New Roman"/>
          <w:szCs w:val="24"/>
        </w:rPr>
      </w:pPr>
    </w:p>
    <w:tbl>
      <w:tblPr>
        <w:tblpPr w:leftFromText="141" w:rightFromText="141" w:vertAnchor="text" w:tblpX="496" w:tblpY="1"/>
        <w:tblOverlap w:val="never"/>
        <w:tblW w:w="98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124"/>
        <w:gridCol w:w="160"/>
        <w:gridCol w:w="265"/>
        <w:gridCol w:w="496"/>
        <w:gridCol w:w="712"/>
        <w:gridCol w:w="567"/>
        <w:gridCol w:w="142"/>
        <w:gridCol w:w="425"/>
        <w:gridCol w:w="142"/>
        <w:gridCol w:w="425"/>
        <w:gridCol w:w="142"/>
        <w:gridCol w:w="425"/>
        <w:gridCol w:w="142"/>
        <w:gridCol w:w="567"/>
        <w:gridCol w:w="425"/>
        <w:gridCol w:w="284"/>
        <w:gridCol w:w="283"/>
        <w:gridCol w:w="1417"/>
        <w:gridCol w:w="163"/>
      </w:tblGrid>
      <w:tr w:rsidR="009332CD" w:rsidRPr="0056508B" w:rsidTr="00745AFA">
        <w:trPr>
          <w:trHeight w:val="140"/>
        </w:trPr>
        <w:tc>
          <w:tcPr>
            <w:tcW w:w="2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317F49" w:rsidRDefault="009332CD" w:rsidP="00745AFA">
            <w:pPr>
              <w:rPr>
                <w:rFonts w:ascii="Calibri" w:hAnsi="Calibri" w:cs="Times New Roman"/>
                <w:color w:val="000000"/>
                <w:szCs w:val="24"/>
              </w:rPr>
            </w:pPr>
            <w:r w:rsidRPr="00317F49">
              <w:rPr>
                <w:rFonts w:ascii="Calibri" w:hAnsi="Calibri" w:cs="Times New Roman"/>
                <w:color w:val="000000"/>
                <w:szCs w:val="24"/>
              </w:rPr>
              <w:lastRenderedPageBreak/>
              <w:t>Tabuľka č. 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9332CD" w:rsidRPr="0056508B" w:rsidTr="00745AFA">
        <w:trPr>
          <w:gridAfter w:val="2"/>
          <w:wAfter w:w="1580" w:type="dxa"/>
          <w:trHeight w:val="435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332CD" w:rsidRPr="0056508B" w:rsidRDefault="009332CD" w:rsidP="00745AFA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Por. č.</w:t>
            </w:r>
          </w:p>
        </w:tc>
        <w:tc>
          <w:tcPr>
            <w:tcW w:w="21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332CD" w:rsidRPr="0056508B" w:rsidRDefault="009332CD" w:rsidP="00745AFA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organizačný útvar ÚBSK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12" w:space="0" w:color="auto"/>
              <w:left w:val="nil"/>
            </w:tcBorders>
            <w:shd w:val="clear" w:color="auto" w:fill="auto"/>
            <w:textDirection w:val="btLr"/>
            <w:vAlign w:val="center"/>
            <w:hideMark/>
          </w:tcPr>
          <w:p w:rsidR="009332CD" w:rsidRPr="0056508B" w:rsidRDefault="009332CD" w:rsidP="00745AFA">
            <w:pPr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 počet  sťažností</w:t>
            </w:r>
          </w:p>
        </w:tc>
        <w:tc>
          <w:tcPr>
            <w:tcW w:w="496" w:type="dxa"/>
            <w:tcBorders>
              <w:top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z  toho</w:t>
            </w:r>
          </w:p>
        </w:tc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 xml:space="preserve">sťažnosť odložená   §  6 ods. 1 písm. a),  g) ah)  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opodstatnená sťažnosť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neopodstatnená sťažnosť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 xml:space="preserve">sťažnosť postúpená inému orgánu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sťažnosť prešetrovaná v lehote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 xml:space="preserve"> podnet vybavovaný napr. podľa ZP a zák. č. 211/2010 Z.z. 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textDirection w:val="btLr"/>
          </w:tcPr>
          <w:p w:rsidR="009332CD" w:rsidRPr="0056508B" w:rsidRDefault="009332CD" w:rsidP="00745AFA">
            <w:pPr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podanie  vrátené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textDirection w:val="btLr"/>
          </w:tcPr>
          <w:p w:rsidR="009332CD" w:rsidRPr="0056508B" w:rsidRDefault="009332CD" w:rsidP="00745AFA">
            <w:pPr>
              <w:spacing w:line="168" w:lineRule="auto"/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počet evidovaných petícií</w:t>
            </w:r>
          </w:p>
        </w:tc>
      </w:tr>
      <w:tr w:rsidR="009332CD" w:rsidRPr="0056508B" w:rsidTr="00745AFA">
        <w:trPr>
          <w:gridAfter w:val="2"/>
          <w:wAfter w:w="1580" w:type="dxa"/>
          <w:cantSplit/>
          <w:trHeight w:val="1108"/>
        </w:trPr>
        <w:tc>
          <w:tcPr>
            <w:tcW w:w="49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 xml:space="preserve">anonymné sťažností </w:t>
            </w:r>
          </w:p>
        </w:tc>
        <w:tc>
          <w:tcPr>
            <w:tcW w:w="712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9332CD" w:rsidRPr="0056508B" w:rsidRDefault="009332CD" w:rsidP="00745AFA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textDirection w:val="btLr"/>
          </w:tcPr>
          <w:p w:rsidR="009332CD" w:rsidRPr="0056508B" w:rsidRDefault="009332CD" w:rsidP="00745AFA">
            <w:pPr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9332CD" w:rsidRPr="0056508B" w:rsidRDefault="009332CD" w:rsidP="00745AFA">
            <w:pPr>
              <w:spacing w:line="168" w:lineRule="auto"/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332CD" w:rsidRPr="0056508B" w:rsidTr="00745AFA">
        <w:trPr>
          <w:gridAfter w:val="2"/>
          <w:wAfter w:w="1580" w:type="dxa"/>
          <w:trHeight w:val="147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7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j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</w:t>
            </w:r>
          </w:p>
        </w:tc>
      </w:tr>
      <w:tr w:rsidR="009332CD" w:rsidRPr="0056508B" w:rsidTr="00745AFA">
        <w:trPr>
          <w:gridAfter w:val="2"/>
          <w:wAfter w:w="1580" w:type="dxa"/>
          <w:trHeight w:val="227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odbor zdravotníctva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9332CD" w:rsidRPr="0056508B" w:rsidTr="00745AFA">
        <w:trPr>
          <w:gridAfter w:val="2"/>
          <w:wAfter w:w="1580" w:type="dxa"/>
          <w:trHeight w:val="259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odbor sociálnych vecí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9332CD" w:rsidRPr="0056508B" w:rsidTr="00745AFA">
        <w:trPr>
          <w:gridAfter w:val="2"/>
          <w:wAfter w:w="1580" w:type="dxa"/>
          <w:trHeight w:val="236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odbor školstva, mládeže a športu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9332CD" w:rsidRPr="0056508B" w:rsidTr="00745AFA">
        <w:trPr>
          <w:gridAfter w:val="2"/>
          <w:wAfter w:w="1580" w:type="dxa"/>
          <w:trHeight w:val="267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odbor dopravy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9332CD" w:rsidRPr="0056508B" w:rsidTr="00745AFA">
        <w:trPr>
          <w:gridAfter w:val="2"/>
          <w:wAfter w:w="1580" w:type="dxa"/>
          <w:trHeight w:val="244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oddelenie  správy majetku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9332CD" w:rsidRPr="0056508B" w:rsidTr="00745AFA">
        <w:trPr>
          <w:gridAfter w:val="2"/>
          <w:wAfter w:w="1580" w:type="dxa"/>
          <w:trHeight w:val="261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oddelenie právne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9332CD" w:rsidRPr="0056508B" w:rsidTr="00745AFA">
        <w:trPr>
          <w:gridAfter w:val="2"/>
          <w:wAfter w:w="1580" w:type="dxa"/>
          <w:trHeight w:val="252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7 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oddelenie ľudských zdrojov a miezd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9332CD" w:rsidRPr="0056508B" w:rsidTr="00745AFA">
        <w:trPr>
          <w:gridAfter w:val="2"/>
          <w:wAfter w:w="1580" w:type="dxa"/>
          <w:trHeight w:val="33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odbor sociálnych vecí a</w:t>
            </w:r>
          </w:p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útvar riaditeľa Úradu BSK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9332CD" w:rsidRPr="0056508B" w:rsidTr="00745AFA">
        <w:trPr>
          <w:gridAfter w:val="2"/>
          <w:wAfter w:w="1580" w:type="dxa"/>
          <w:trHeight w:val="305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18"/>
                <w:szCs w:val="18"/>
              </w:rPr>
              <w:t>útvar riaditeľa Úradu BSK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9332CD" w:rsidRPr="0056508B" w:rsidTr="00745AFA">
        <w:trPr>
          <w:gridAfter w:val="2"/>
          <w:wAfter w:w="1580" w:type="dxa"/>
          <w:trHeight w:val="216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32CD" w:rsidRPr="0056508B" w:rsidRDefault="009332CD" w:rsidP="00745AFA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2CD" w:rsidRPr="0056508B" w:rsidRDefault="009332CD" w:rsidP="00745AFA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56508B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9332CD" w:rsidRPr="0056508B" w:rsidTr="00745AFA">
        <w:trPr>
          <w:gridAfter w:val="2"/>
          <w:wAfter w:w="1580" w:type="dxa"/>
          <w:trHeight w:val="300"/>
        </w:trPr>
        <w:tc>
          <w:tcPr>
            <w:tcW w:w="49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332CD" w:rsidRPr="0056508B" w:rsidRDefault="009332CD" w:rsidP="00745AF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</w:tbl>
    <w:p w:rsidR="009332CD" w:rsidRDefault="009332CD" w:rsidP="009332CD">
      <w:pPr>
        <w:pStyle w:val="Bezriadkovania"/>
        <w:rPr>
          <w:rFonts w:ascii="Arial" w:hAnsi="Arial" w:cs="Arial"/>
          <w:b/>
          <w:sz w:val="24"/>
          <w:szCs w:val="24"/>
        </w:rPr>
      </w:pPr>
    </w:p>
    <w:p w:rsidR="009332CD" w:rsidRDefault="009332CD" w:rsidP="009332CD">
      <w:pPr>
        <w:pStyle w:val="Bezriadkovani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Kontrola vybavovania petícií</w:t>
      </w:r>
    </w:p>
    <w:p w:rsidR="009332CD" w:rsidRDefault="009332CD" w:rsidP="009332CD">
      <w:pPr>
        <w:pStyle w:val="Bezriadkovania"/>
        <w:rPr>
          <w:rFonts w:ascii="Arial" w:hAnsi="Arial" w:cs="Arial"/>
          <w:b/>
          <w:sz w:val="24"/>
          <w:szCs w:val="24"/>
        </w:rPr>
      </w:pPr>
    </w:p>
    <w:p w:rsidR="009332CD" w:rsidRPr="00AE401F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 w:rsidRPr="008A57A6">
        <w:rPr>
          <w:rFonts w:ascii="Arial" w:hAnsi="Arial"/>
        </w:rPr>
        <w:t>Kontrolou petícií bolo zistené, že z</w:t>
      </w:r>
      <w:r>
        <w:rPr>
          <w:rFonts w:ascii="Arial" w:hAnsi="Arial"/>
        </w:rPr>
        <w:t>o 6 petícií</w:t>
      </w:r>
      <w:r w:rsidRPr="008A57A6">
        <w:rPr>
          <w:rFonts w:ascii="Arial" w:hAnsi="Arial"/>
        </w:rPr>
        <w:t xml:space="preserve"> </w:t>
      </w:r>
      <w:r>
        <w:rPr>
          <w:rFonts w:ascii="Arial" w:hAnsi="Arial"/>
        </w:rPr>
        <w:t xml:space="preserve">zaevidovaných v centrálnej evidencii boli 4 vybavované na organizačných útvaroch Ú BSK a 2 petície vzhľadom na obsah, z ktorého vyplynulo, že Ú BSK nie je  príslušný na vybavenie v súlade s § 5 ods. 1 zákona o petičnom práve, ich postúpil príslušným orgánom na priame vybavenie a túto skutočnosť oznámil odosielateľovi petície (príloha č. 2). Kontrola vybavovania petícií nepreukázala porušenia zákona o petičnom práve ani smernice. </w:t>
      </w:r>
    </w:p>
    <w:p w:rsidR="009332CD" w:rsidRDefault="009332CD" w:rsidP="009332CD">
      <w:pPr>
        <w:pStyle w:val="Bezriadkovania"/>
      </w:pPr>
    </w:p>
    <w:p w:rsidR="009332CD" w:rsidRPr="00601CFF" w:rsidRDefault="009332CD" w:rsidP="009332CD">
      <w:pPr>
        <w:ind w:firstLine="708"/>
        <w:jc w:val="both"/>
        <w:rPr>
          <w:rFonts w:cs="Times New Roman"/>
          <w:b/>
          <w:sz w:val="22"/>
          <w:szCs w:val="22"/>
          <w:u w:val="single"/>
        </w:rPr>
      </w:pPr>
      <w:r>
        <w:rPr>
          <w:rFonts w:cs="Times New Roman"/>
          <w:sz w:val="22"/>
          <w:szCs w:val="22"/>
        </w:rPr>
        <w:t>Podrobný</w:t>
      </w:r>
      <w:r w:rsidRPr="00601CFF">
        <w:rPr>
          <w:rFonts w:cs="Times New Roman"/>
          <w:sz w:val="22"/>
          <w:szCs w:val="22"/>
        </w:rPr>
        <w:t xml:space="preserve"> prehľad  vybav</w:t>
      </w:r>
      <w:r>
        <w:rPr>
          <w:rFonts w:cs="Times New Roman"/>
          <w:sz w:val="22"/>
          <w:szCs w:val="22"/>
        </w:rPr>
        <w:t xml:space="preserve">ovania sťažností za rok 2012 </w:t>
      </w:r>
      <w:r w:rsidRPr="00601CFF">
        <w:rPr>
          <w:rFonts w:cs="Times New Roman"/>
          <w:sz w:val="22"/>
          <w:szCs w:val="22"/>
        </w:rPr>
        <w:t xml:space="preserve"> a</w:t>
      </w:r>
      <w:r>
        <w:rPr>
          <w:rFonts w:cs="Times New Roman"/>
          <w:sz w:val="22"/>
          <w:szCs w:val="22"/>
        </w:rPr>
        <w:t xml:space="preserve"> prehľad vybavovania </w:t>
      </w:r>
      <w:r w:rsidRPr="00601CFF">
        <w:rPr>
          <w:rFonts w:cs="Times New Roman"/>
          <w:sz w:val="22"/>
          <w:szCs w:val="22"/>
        </w:rPr>
        <w:t xml:space="preserve"> petícií </w:t>
      </w:r>
      <w:r>
        <w:rPr>
          <w:rFonts w:cs="Times New Roman"/>
          <w:sz w:val="22"/>
          <w:szCs w:val="22"/>
        </w:rPr>
        <w:t xml:space="preserve">za rok 2012 </w:t>
      </w:r>
      <w:r w:rsidRPr="00601CFF">
        <w:rPr>
          <w:rFonts w:cs="Times New Roman"/>
          <w:sz w:val="22"/>
          <w:szCs w:val="22"/>
        </w:rPr>
        <w:t>na Ú BSK je uvedený v prílohe č. 1 a č. 2.</w:t>
      </w:r>
    </w:p>
    <w:p w:rsidR="009332CD" w:rsidRDefault="009332CD" w:rsidP="009332CD">
      <w:pPr>
        <w:pStyle w:val="Bezriadkovania"/>
      </w:pPr>
    </w:p>
    <w:p w:rsidR="009332CD" w:rsidRDefault="009332CD" w:rsidP="009332CD">
      <w:pPr>
        <w:pStyle w:val="Bezriadkovania"/>
        <w:rPr>
          <w:rFonts w:ascii="Arial" w:hAnsi="Arial" w:cs="Arial"/>
        </w:rPr>
      </w:pPr>
    </w:p>
    <w:p w:rsidR="009332CD" w:rsidRDefault="009332CD" w:rsidP="009332CD">
      <w:pPr>
        <w:pStyle w:val="Bezriadkovania1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Prijaté opatrenia na nápravu</w:t>
      </w:r>
    </w:p>
    <w:p w:rsidR="009332CD" w:rsidRDefault="009332CD" w:rsidP="009332CD">
      <w:pPr>
        <w:pStyle w:val="Bezriadkovania1"/>
        <w:jc w:val="both"/>
        <w:rPr>
          <w:rFonts w:ascii="Arial" w:hAnsi="Arial" w:cs="Arial"/>
          <w:b/>
          <w:sz w:val="24"/>
          <w:szCs w:val="24"/>
        </w:rPr>
      </w:pPr>
    </w:p>
    <w:p w:rsidR="009332CD" w:rsidRPr="005C31E2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Vzhľadom na to, že pri výkone kontroly vybavovania sťažností a petícií na Ú BSK neboli zistené nedostatky, nebolo treba prijať opatrenia na nápravu zistených nedostatkov a odstránenie ich príčin. Z kontroly o vybavovaní sťažností a petícií na Ú BSK bol vypracovaný záznam, s ktorým </w:t>
      </w:r>
      <w:r w:rsidRPr="005C31E2">
        <w:rPr>
          <w:rFonts w:ascii="Arial" w:hAnsi="Arial" w:cs="Arial"/>
        </w:rPr>
        <w:t xml:space="preserve">bol 4. 3. 2013 oboznámený riaditeľ </w:t>
      </w:r>
      <w:r>
        <w:rPr>
          <w:rFonts w:ascii="Arial" w:hAnsi="Arial" w:cs="Arial"/>
        </w:rPr>
        <w:t xml:space="preserve">Ú </w:t>
      </w:r>
      <w:r w:rsidRPr="005C31E2">
        <w:rPr>
          <w:rFonts w:ascii="Arial" w:hAnsi="Arial" w:cs="Arial"/>
        </w:rPr>
        <w:t>BSK.</w:t>
      </w:r>
    </w:p>
    <w:p w:rsidR="009332CD" w:rsidRDefault="009332CD" w:rsidP="009332CD">
      <w:pPr>
        <w:pStyle w:val="Bezriadkovania"/>
        <w:rPr>
          <w:rFonts w:ascii="Arial" w:hAnsi="Arial" w:cs="Arial"/>
        </w:rPr>
      </w:pPr>
    </w:p>
    <w:p w:rsidR="009332CD" w:rsidRDefault="009332CD" w:rsidP="009332CD">
      <w:pPr>
        <w:pStyle w:val="Bezriadkovania"/>
        <w:rPr>
          <w:rFonts w:ascii="Arial" w:hAnsi="Arial" w:cs="Arial"/>
        </w:rPr>
      </w:pPr>
    </w:p>
    <w:p w:rsidR="009332CD" w:rsidRDefault="009332CD" w:rsidP="009332CD">
      <w:pPr>
        <w:pStyle w:val="Bezriadkovania1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Iné podania</w:t>
      </w:r>
    </w:p>
    <w:p w:rsidR="009332CD" w:rsidRPr="005A5C28" w:rsidRDefault="009332CD" w:rsidP="009332CD">
      <w:pPr>
        <w:pStyle w:val="Bezriadkovania"/>
        <w:jc w:val="both"/>
        <w:rPr>
          <w:rFonts w:ascii="Arial" w:hAnsi="Arial" w:cs="Arial"/>
        </w:rPr>
      </w:pPr>
    </w:p>
    <w:p w:rsidR="009332CD" w:rsidRPr="005A5C28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 w:rsidRPr="005A5C28">
        <w:rPr>
          <w:rFonts w:ascii="Arial" w:hAnsi="Arial" w:cs="Arial"/>
        </w:rPr>
        <w:t xml:space="preserve">Na Ú BSK boli doručené iné podania </w:t>
      </w:r>
      <w:r w:rsidRPr="005A5C28">
        <w:rPr>
          <w:rFonts w:ascii="Arial" w:hAnsi="Arial" w:cs="Arial"/>
          <w:color w:val="000000"/>
        </w:rPr>
        <w:t>v počte 1</w:t>
      </w:r>
      <w:r>
        <w:rPr>
          <w:rFonts w:ascii="Arial" w:hAnsi="Arial" w:cs="Arial"/>
          <w:color w:val="000000"/>
        </w:rPr>
        <w:t>85</w:t>
      </w:r>
      <w:r w:rsidRPr="005A5C28">
        <w:rPr>
          <w:rFonts w:ascii="Arial" w:hAnsi="Arial" w:cs="Arial"/>
          <w:color w:val="000000"/>
        </w:rPr>
        <w:t>, ktoré</w:t>
      </w:r>
      <w:r w:rsidRPr="005A5C28">
        <w:rPr>
          <w:rFonts w:ascii="Arial" w:hAnsi="Arial" w:cs="Arial"/>
        </w:rPr>
        <w:t xml:space="preserve"> mali charakter podnetov, oznámení, dopytov, žiadostí a podobne. Vecné zamera</w:t>
      </w:r>
      <w:r>
        <w:rPr>
          <w:rFonts w:ascii="Arial" w:hAnsi="Arial" w:cs="Arial"/>
        </w:rPr>
        <w:t>nie týchto podaní smerovalo do</w:t>
      </w:r>
      <w:r w:rsidRPr="005A5C28">
        <w:rPr>
          <w:rFonts w:ascii="Arial" w:hAnsi="Arial" w:cs="Arial"/>
        </w:rPr>
        <w:t xml:space="preserve"> oblasti zdravotníctva</w:t>
      </w:r>
      <w:r>
        <w:rPr>
          <w:rFonts w:ascii="Arial" w:hAnsi="Arial" w:cs="Arial"/>
        </w:rPr>
        <w:t xml:space="preserve"> a</w:t>
      </w:r>
      <w:r w:rsidRPr="0034237C">
        <w:rPr>
          <w:rFonts w:ascii="Arial" w:hAnsi="Arial" w:cs="Arial"/>
        </w:rPr>
        <w:t xml:space="preserve"> </w:t>
      </w:r>
      <w:r w:rsidRPr="005A5C28">
        <w:rPr>
          <w:rFonts w:ascii="Arial" w:hAnsi="Arial" w:cs="Arial"/>
        </w:rPr>
        <w:t>sociálnej oblasti.</w:t>
      </w:r>
    </w:p>
    <w:p w:rsidR="009332CD" w:rsidRPr="005A5C28" w:rsidRDefault="009332CD" w:rsidP="009332CD">
      <w:pPr>
        <w:pStyle w:val="Bezriadkovania"/>
        <w:jc w:val="both"/>
        <w:rPr>
          <w:rFonts w:ascii="Arial" w:hAnsi="Arial" w:cs="Arial"/>
        </w:rPr>
      </w:pPr>
      <w:r w:rsidRPr="005A5C28">
        <w:rPr>
          <w:rFonts w:ascii="Arial" w:hAnsi="Arial" w:cs="Arial"/>
        </w:rPr>
        <w:t xml:space="preserve"> </w:t>
      </w:r>
    </w:p>
    <w:p w:rsidR="009332CD" w:rsidRPr="005A5C28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5A5C28">
        <w:rPr>
          <w:rFonts w:ascii="Arial" w:hAnsi="Arial" w:cs="Arial"/>
        </w:rPr>
        <w:t>dbor zdravotníctva Ú</w:t>
      </w:r>
      <w:r>
        <w:rPr>
          <w:rFonts w:ascii="Arial" w:hAnsi="Arial" w:cs="Arial"/>
        </w:rPr>
        <w:t xml:space="preserve"> </w:t>
      </w:r>
      <w:r w:rsidRPr="005A5C28">
        <w:rPr>
          <w:rFonts w:ascii="Arial" w:hAnsi="Arial" w:cs="Arial"/>
        </w:rPr>
        <w:t>BSK prija</w:t>
      </w:r>
      <w:r>
        <w:rPr>
          <w:rFonts w:ascii="Arial" w:hAnsi="Arial" w:cs="Arial"/>
        </w:rPr>
        <w:t>l</w:t>
      </w:r>
      <w:r w:rsidRPr="005A5C28">
        <w:rPr>
          <w:rFonts w:ascii="Arial" w:hAnsi="Arial" w:cs="Arial"/>
        </w:rPr>
        <w:t xml:space="preserve"> a vybavova</w:t>
      </w:r>
      <w:r>
        <w:rPr>
          <w:rFonts w:ascii="Arial" w:hAnsi="Arial" w:cs="Arial"/>
        </w:rPr>
        <w:t>l</w:t>
      </w:r>
      <w:r w:rsidRPr="005A5C28">
        <w:rPr>
          <w:rFonts w:ascii="Arial" w:hAnsi="Arial" w:cs="Arial"/>
        </w:rPr>
        <w:t xml:space="preserve"> spolu 1</w:t>
      </w:r>
      <w:r>
        <w:rPr>
          <w:rFonts w:ascii="Arial" w:hAnsi="Arial" w:cs="Arial"/>
        </w:rPr>
        <w:t>69</w:t>
      </w:r>
      <w:r w:rsidRPr="005A5C28">
        <w:rPr>
          <w:rFonts w:ascii="Arial" w:hAnsi="Arial" w:cs="Arial"/>
        </w:rPr>
        <w:t xml:space="preserve"> podaní</w:t>
      </w:r>
      <w:r>
        <w:rPr>
          <w:rFonts w:ascii="Arial" w:hAnsi="Arial" w:cs="Arial"/>
        </w:rPr>
        <w:t>, čo je o 47 podaní viac ako v roku 2011 (122 podaní v roku 2011)</w:t>
      </w:r>
      <w:r w:rsidRPr="005A5C28">
        <w:rPr>
          <w:rFonts w:ascii="Arial" w:hAnsi="Arial" w:cs="Arial"/>
        </w:rPr>
        <w:t>, ktoré boli vybavované</w:t>
      </w:r>
      <w:r w:rsidRPr="005A5C28">
        <w:rPr>
          <w:rFonts w:ascii="Arial" w:hAnsi="Arial" w:cs="Arial"/>
          <w:color w:val="000000"/>
        </w:rPr>
        <w:t xml:space="preserve"> v </w:t>
      </w:r>
      <w:r w:rsidRPr="005A5C28">
        <w:rPr>
          <w:rFonts w:ascii="Arial" w:hAnsi="Arial" w:cs="Arial"/>
        </w:rPr>
        <w:t> súlade s ustanovením</w:t>
      </w:r>
      <w:r>
        <w:rPr>
          <w:rFonts w:ascii="Arial" w:hAnsi="Arial" w:cs="Arial"/>
        </w:rPr>
        <w:t xml:space="preserve"> § 17 ods. 3 písm. b) zákona č. </w:t>
      </w:r>
      <w:r w:rsidRPr="005A5C28">
        <w:rPr>
          <w:rFonts w:ascii="Arial" w:hAnsi="Arial" w:cs="Arial"/>
        </w:rPr>
        <w:t xml:space="preserve">576/2004 Z. z. o zdravotnej starostlivosti, </w:t>
      </w:r>
      <w:r w:rsidRPr="005A5C28">
        <w:rPr>
          <w:rFonts w:ascii="Arial" w:hAnsi="Arial" w:cs="Arial"/>
        </w:rPr>
        <w:lastRenderedPageBreak/>
        <w:t>službách súvisiacich s poskytovaním zdravotnej starostlivosti a o zmene a doplnení niektorých zákonov v znení neskorších predpisov.</w:t>
      </w:r>
    </w:p>
    <w:p w:rsidR="009332CD" w:rsidRDefault="009332CD" w:rsidP="009332CD">
      <w:pPr>
        <w:pStyle w:val="Bezriadkovania"/>
        <w:jc w:val="both"/>
        <w:rPr>
          <w:rFonts w:ascii="Arial" w:hAnsi="Arial" w:cs="Arial"/>
          <w:color w:val="000000"/>
        </w:rPr>
      </w:pPr>
      <w:r w:rsidRPr="005A5C28">
        <w:rPr>
          <w:rFonts w:ascii="Arial" w:hAnsi="Arial" w:cs="Arial"/>
          <w:color w:val="000000"/>
        </w:rPr>
        <w:t>Predmetom podaní bol</w:t>
      </w:r>
      <w:r>
        <w:rPr>
          <w:rFonts w:ascii="Arial" w:hAnsi="Arial" w:cs="Arial"/>
          <w:color w:val="000000"/>
        </w:rPr>
        <w:t xml:space="preserve">o najčastejšie: </w:t>
      </w:r>
      <w:r w:rsidRPr="005A5C28">
        <w:rPr>
          <w:rFonts w:ascii="Arial" w:hAnsi="Arial" w:cs="Arial"/>
          <w:color w:val="000000"/>
        </w:rPr>
        <w:t xml:space="preserve">nesúhlas </w:t>
      </w:r>
      <w:r>
        <w:rPr>
          <w:rFonts w:ascii="Arial" w:hAnsi="Arial" w:cs="Arial"/>
          <w:color w:val="000000"/>
        </w:rPr>
        <w:t>s platbou v nezmluvnom zdravotníckom zariadení</w:t>
      </w:r>
      <w:r w:rsidRPr="005A5C28">
        <w:rPr>
          <w:rFonts w:ascii="Arial" w:hAnsi="Arial" w:cs="Arial"/>
          <w:color w:val="000000"/>
        </w:rPr>
        <w:t>, p</w:t>
      </w:r>
      <w:r>
        <w:rPr>
          <w:rFonts w:ascii="Arial" w:hAnsi="Arial" w:cs="Arial"/>
          <w:color w:val="000000"/>
        </w:rPr>
        <w:t xml:space="preserve">oplatky </w:t>
      </w:r>
      <w:r w:rsidRPr="005A5C2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administratívne úkony</w:t>
      </w:r>
      <w:r w:rsidRPr="005A5C28">
        <w:rPr>
          <w:rFonts w:ascii="Arial" w:hAnsi="Arial" w:cs="Arial"/>
          <w:color w:val="000000"/>
        </w:rPr>
        <w:t xml:space="preserve">, odmietnutie </w:t>
      </w:r>
      <w:r>
        <w:rPr>
          <w:rFonts w:ascii="Arial" w:hAnsi="Arial" w:cs="Arial"/>
          <w:color w:val="000000"/>
        </w:rPr>
        <w:t>pacienta odborným lekárom</w:t>
      </w:r>
      <w:r w:rsidRPr="005A5C28">
        <w:rPr>
          <w:rFonts w:ascii="Arial" w:hAnsi="Arial" w:cs="Arial"/>
          <w:color w:val="000000"/>
        </w:rPr>
        <w:t xml:space="preserve">, nedostatky vo vedení zdravotnej dokumentácie, nekvalita stomatologických výkonov, poplatok za </w:t>
      </w:r>
      <w:r>
        <w:rPr>
          <w:rFonts w:ascii="Arial" w:hAnsi="Arial" w:cs="Arial"/>
          <w:color w:val="000000"/>
        </w:rPr>
        <w:t>predoperačné vyšetrenie</w:t>
      </w:r>
      <w:r w:rsidRPr="005A5C28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odmietnutie vykonania predoperačného vyšetrenia, </w:t>
      </w:r>
      <w:r w:rsidRPr="005A5C2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prešetrenie správania lekára a zdravotníckeho personálu</w:t>
      </w:r>
      <w:r w:rsidRPr="005A5C28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nesprístupnenie údajov zo zdravotnej dokumentácie, chýbajúci cenník výkonov hradených pacientom </w:t>
      </w:r>
      <w:r w:rsidRPr="005A5C28">
        <w:rPr>
          <w:rFonts w:ascii="Arial" w:hAnsi="Arial" w:cs="Arial"/>
          <w:color w:val="000000"/>
        </w:rPr>
        <w:t xml:space="preserve"> a iné.</w:t>
      </w:r>
    </w:p>
    <w:p w:rsidR="009332CD" w:rsidRPr="005A5C28" w:rsidRDefault="009332CD" w:rsidP="009332CD">
      <w:pPr>
        <w:pStyle w:val="Bezriadkovania"/>
        <w:ind w:firstLine="708"/>
        <w:jc w:val="both"/>
        <w:rPr>
          <w:rFonts w:ascii="Arial" w:hAnsi="Arial" w:cs="Arial"/>
          <w:color w:val="000000"/>
        </w:rPr>
      </w:pPr>
    </w:p>
    <w:p w:rsidR="009332CD" w:rsidRPr="005A5C28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 w:rsidRPr="005A5C28">
        <w:rPr>
          <w:rFonts w:ascii="Arial" w:hAnsi="Arial" w:cs="Arial"/>
        </w:rPr>
        <w:t>Z prešetrených podaní boli v </w:t>
      </w:r>
      <w:r>
        <w:rPr>
          <w:rFonts w:ascii="Arial" w:hAnsi="Arial" w:cs="Arial"/>
        </w:rPr>
        <w:t>48</w:t>
      </w:r>
      <w:r w:rsidRPr="005A5C28">
        <w:rPr>
          <w:rFonts w:ascii="Arial" w:hAnsi="Arial" w:cs="Arial"/>
        </w:rPr>
        <w:t xml:space="preserve"> prípadoch nedostatky preukázané, v </w:t>
      </w:r>
      <w:r>
        <w:rPr>
          <w:rFonts w:ascii="Arial" w:hAnsi="Arial" w:cs="Arial"/>
        </w:rPr>
        <w:t>69</w:t>
      </w:r>
      <w:r w:rsidRPr="005A5C28">
        <w:rPr>
          <w:rFonts w:ascii="Arial" w:hAnsi="Arial" w:cs="Arial"/>
        </w:rPr>
        <w:t xml:space="preserve"> prípadoch nedostatky neboli preukázané, </w:t>
      </w:r>
      <w:r>
        <w:rPr>
          <w:rFonts w:ascii="Arial" w:hAnsi="Arial" w:cs="Arial"/>
        </w:rPr>
        <w:t>3</w:t>
      </w:r>
      <w:r w:rsidRPr="005A5C28">
        <w:rPr>
          <w:rFonts w:ascii="Arial" w:hAnsi="Arial" w:cs="Arial"/>
        </w:rPr>
        <w:t xml:space="preserve"> podania boli odboru zdravot</w:t>
      </w:r>
      <w:r>
        <w:rPr>
          <w:rFonts w:ascii="Arial" w:hAnsi="Arial" w:cs="Arial"/>
        </w:rPr>
        <w:t xml:space="preserve">níctva zaslané iba na vedomie, </w:t>
      </w:r>
      <w:r w:rsidRPr="005A5C28">
        <w:rPr>
          <w:rFonts w:ascii="Arial" w:hAnsi="Arial" w:cs="Arial"/>
        </w:rPr>
        <w:t>v dvoch pr</w:t>
      </w:r>
      <w:r>
        <w:rPr>
          <w:rFonts w:ascii="Arial" w:hAnsi="Arial" w:cs="Arial"/>
        </w:rPr>
        <w:t xml:space="preserve">ípadoch boli podania pisateľmi </w:t>
      </w:r>
      <w:r w:rsidRPr="005A5C28">
        <w:rPr>
          <w:rFonts w:ascii="Arial" w:hAnsi="Arial" w:cs="Arial"/>
        </w:rPr>
        <w:t>vzat</w:t>
      </w:r>
      <w:r>
        <w:rPr>
          <w:rFonts w:ascii="Arial" w:hAnsi="Arial" w:cs="Arial"/>
        </w:rPr>
        <w:t>é späť, v 5 prípadoch boli podania vrátené a 12 podaní je k 31. 12. 2012 vo vybavovaní.</w:t>
      </w:r>
    </w:p>
    <w:p w:rsidR="009332CD" w:rsidRPr="00B2251C" w:rsidRDefault="009332CD" w:rsidP="009332CD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prípade </w:t>
      </w:r>
      <w:r w:rsidRPr="00B2251C">
        <w:rPr>
          <w:rFonts w:ascii="Arial" w:hAnsi="Arial" w:cs="Arial"/>
        </w:rPr>
        <w:t>opodstatnen</w:t>
      </w:r>
      <w:r>
        <w:rPr>
          <w:rFonts w:ascii="Arial" w:hAnsi="Arial" w:cs="Arial"/>
        </w:rPr>
        <w:t>ých</w:t>
      </w:r>
      <w:r w:rsidRPr="00B2251C">
        <w:rPr>
          <w:rFonts w:ascii="Arial" w:hAnsi="Arial" w:cs="Arial"/>
        </w:rPr>
        <w:t xml:space="preserve"> námiet</w:t>
      </w:r>
      <w:r>
        <w:rPr>
          <w:rFonts w:ascii="Arial" w:hAnsi="Arial" w:cs="Arial"/>
        </w:rPr>
        <w:t>o</w:t>
      </w:r>
      <w:r w:rsidRPr="00B2251C">
        <w:rPr>
          <w:rFonts w:ascii="Arial" w:hAnsi="Arial" w:cs="Arial"/>
        </w:rPr>
        <w:t>k, bol poskytovateľ upozornený na dodržiavanie platných p</w:t>
      </w:r>
      <w:r>
        <w:rPr>
          <w:rFonts w:ascii="Arial" w:hAnsi="Arial" w:cs="Arial"/>
        </w:rPr>
        <w:t>rávnych predpisov s upozornením</w:t>
      </w:r>
      <w:r w:rsidRPr="00B2251C">
        <w:rPr>
          <w:rFonts w:ascii="Arial" w:hAnsi="Arial" w:cs="Arial"/>
        </w:rPr>
        <w:t xml:space="preserve"> vykonania náhodných kontrol a  v prípade opakovaného porušenia právneho predpisu pristúpi samosprávny kraj k sankčným opatreniam podľa §</w:t>
      </w:r>
      <w:r>
        <w:rPr>
          <w:rFonts w:ascii="Arial" w:hAnsi="Arial" w:cs="Arial"/>
        </w:rPr>
        <w:t xml:space="preserve"> </w:t>
      </w:r>
      <w:r w:rsidRPr="00B2251C">
        <w:rPr>
          <w:rFonts w:ascii="Arial" w:hAnsi="Arial" w:cs="Arial"/>
        </w:rPr>
        <w:t>82 zákona č.</w:t>
      </w:r>
      <w:r>
        <w:rPr>
          <w:rFonts w:ascii="Arial" w:hAnsi="Arial" w:cs="Arial"/>
        </w:rPr>
        <w:t xml:space="preserve"> </w:t>
      </w:r>
      <w:r w:rsidRPr="00B2251C">
        <w:rPr>
          <w:rFonts w:ascii="Arial" w:hAnsi="Arial" w:cs="Arial"/>
        </w:rPr>
        <w:t>578/2004 Z.</w:t>
      </w:r>
      <w:r>
        <w:rPr>
          <w:rFonts w:ascii="Arial" w:hAnsi="Arial" w:cs="Arial"/>
        </w:rPr>
        <w:t xml:space="preserve"> </w:t>
      </w:r>
      <w:r w:rsidRPr="00B2251C">
        <w:rPr>
          <w:rFonts w:ascii="Arial" w:hAnsi="Arial" w:cs="Arial"/>
        </w:rPr>
        <w:t>z. v platnom znení.</w:t>
      </w:r>
      <w:r>
        <w:rPr>
          <w:rFonts w:ascii="Arial" w:hAnsi="Arial" w:cs="Arial"/>
        </w:rPr>
        <w:t xml:space="preserve"> V sledovanom období za porušenie platných právnych predpisov bola uložená 1 pokuta.</w:t>
      </w:r>
    </w:p>
    <w:p w:rsidR="009332CD" w:rsidRPr="005A5C28" w:rsidRDefault="009332CD" w:rsidP="009332CD">
      <w:pPr>
        <w:pStyle w:val="Bezriadkovania"/>
        <w:jc w:val="both"/>
        <w:rPr>
          <w:rFonts w:ascii="Arial" w:hAnsi="Arial" w:cs="Arial"/>
        </w:rPr>
      </w:pPr>
    </w:p>
    <w:p w:rsidR="009332CD" w:rsidRPr="005A5C28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 w:rsidRPr="005A5C28">
        <w:rPr>
          <w:rFonts w:ascii="Arial" w:hAnsi="Arial" w:cs="Arial"/>
          <w:color w:val="000000"/>
        </w:rPr>
        <w:t>Odbor zdravotníctva postúpil</w:t>
      </w:r>
      <w:r w:rsidRPr="005A5C28">
        <w:rPr>
          <w:rFonts w:ascii="Arial" w:hAnsi="Arial" w:cs="Arial"/>
        </w:rPr>
        <w:t xml:space="preserve"> na vybavenie 3</w:t>
      </w:r>
      <w:r>
        <w:rPr>
          <w:rFonts w:ascii="Arial" w:hAnsi="Arial" w:cs="Arial"/>
        </w:rPr>
        <w:t xml:space="preserve">0 </w:t>
      </w:r>
      <w:r w:rsidRPr="005A5C28">
        <w:rPr>
          <w:rFonts w:ascii="Arial" w:hAnsi="Arial" w:cs="Arial"/>
        </w:rPr>
        <w:t xml:space="preserve">podaní týmto orgánom: Úrad pre dohľad nad zdravotnou starostlivosťou, Ministerstvo zdravotníctva </w:t>
      </w:r>
      <w:r w:rsidRPr="005A5C28">
        <w:rPr>
          <w:rFonts w:ascii="Arial" w:hAnsi="Arial" w:cs="Arial"/>
          <w:color w:val="000000"/>
        </w:rPr>
        <w:t>SR</w:t>
      </w:r>
      <w:r w:rsidRPr="005A5C28">
        <w:rPr>
          <w:rFonts w:ascii="Arial" w:hAnsi="Arial" w:cs="Arial"/>
        </w:rPr>
        <w:t>, Slovenská lekárska komora, Slovenská komora zubných lekárov, Slovenská komora sestier a pôrodných asistentiek, Regionálny úrad verejného zdravotníctva a Obvodný úrad Bratislava – odboru živnostenského podnikania.</w:t>
      </w:r>
    </w:p>
    <w:p w:rsidR="009332CD" w:rsidRDefault="009332CD" w:rsidP="009332CD">
      <w:pPr>
        <w:pStyle w:val="Bezriadkovania"/>
        <w:jc w:val="both"/>
      </w:pPr>
      <w:r>
        <w:tab/>
      </w:r>
    </w:p>
    <w:p w:rsidR="009332CD" w:rsidRDefault="009332CD" w:rsidP="009332CD">
      <w:pPr>
        <w:pStyle w:val="Bezriadkovania"/>
        <w:jc w:val="both"/>
      </w:pPr>
      <w:r>
        <w:tab/>
      </w:r>
      <w:r>
        <w:rPr>
          <w:rFonts w:ascii="Arial" w:hAnsi="Arial" w:cs="Arial"/>
        </w:rPr>
        <w:t>Ostatných 16 podaní vybavovali podľa obsahového zamerania kompetentné organizačné útvary Ú BSK.</w:t>
      </w:r>
      <w:r>
        <w:tab/>
      </w:r>
    </w:p>
    <w:p w:rsidR="009332CD" w:rsidRPr="00DA7E6A" w:rsidRDefault="009332CD" w:rsidP="009332CD">
      <w:pPr>
        <w:ind w:firstLine="360"/>
        <w:jc w:val="both"/>
        <w:rPr>
          <w:rFonts w:cs="Times New Roman"/>
          <w:szCs w:val="24"/>
        </w:rPr>
      </w:pPr>
    </w:p>
    <w:p w:rsidR="009332CD" w:rsidRDefault="009332CD" w:rsidP="009332CD">
      <w:pPr>
        <w:pStyle w:val="Bezriadkovania"/>
      </w:pPr>
    </w:p>
    <w:p w:rsidR="009332CD" w:rsidRDefault="009332CD" w:rsidP="009332CD">
      <w:pPr>
        <w:pStyle w:val="Bezriadkovania"/>
      </w:pPr>
    </w:p>
    <w:p w:rsidR="009332CD" w:rsidRDefault="009332CD" w:rsidP="009332CD">
      <w:pPr>
        <w:pStyle w:val="Bezriadkovania"/>
      </w:pPr>
    </w:p>
    <w:p w:rsidR="009332CD" w:rsidRDefault="009332CD" w:rsidP="009332CD">
      <w:pPr>
        <w:pStyle w:val="Bezriadkovania"/>
        <w:ind w:left="720"/>
        <w:jc w:val="both"/>
        <w:rPr>
          <w:rFonts w:ascii="Arial" w:hAnsi="Arial" w:cs="Arial"/>
        </w:rPr>
      </w:pPr>
    </w:p>
    <w:p w:rsidR="009332CD" w:rsidRDefault="009332CD" w:rsidP="009332CD">
      <w:pPr>
        <w:pStyle w:val="Bezriadkovania"/>
        <w:ind w:left="720"/>
        <w:jc w:val="both"/>
        <w:rPr>
          <w:rFonts w:ascii="Arial" w:hAnsi="Arial" w:cs="Arial"/>
        </w:rPr>
      </w:pP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. </w:t>
      </w:r>
    </w:p>
    <w:p w:rsidR="009332CD" w:rsidRDefault="009332CD" w:rsidP="009332CD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332CD" w:rsidRDefault="009332CD" w:rsidP="009332CD"/>
    <w:p w:rsidR="0051208C" w:rsidRDefault="0051208C" w:rsidP="009332CD">
      <w:pPr>
        <w:jc w:val="center"/>
      </w:pPr>
    </w:p>
    <w:sectPr w:rsidR="0051208C" w:rsidSect="00266F3A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EAD" w:rsidRDefault="00B40EAD" w:rsidP="00010F93">
      <w:r>
        <w:separator/>
      </w:r>
    </w:p>
  </w:endnote>
  <w:endnote w:type="continuationSeparator" w:id="0">
    <w:p w:rsidR="00B40EAD" w:rsidRDefault="00B40EAD" w:rsidP="0001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20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059068"/>
      <w:docPartObj>
        <w:docPartGallery w:val="Page Numbers (Bottom of Page)"/>
        <w:docPartUnique/>
      </w:docPartObj>
    </w:sdtPr>
    <w:sdtEndPr/>
    <w:sdtContent>
      <w:p w:rsidR="00266F3A" w:rsidRDefault="00266F3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992">
          <w:rPr>
            <w:noProof/>
          </w:rPr>
          <w:t>6</w:t>
        </w:r>
        <w:r>
          <w:fldChar w:fldCharType="end"/>
        </w:r>
      </w:p>
    </w:sdtContent>
  </w:sdt>
  <w:p w:rsidR="00266F3A" w:rsidRDefault="00266F3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EAD" w:rsidRDefault="00B40EAD" w:rsidP="00010F93">
      <w:r>
        <w:separator/>
      </w:r>
    </w:p>
  </w:footnote>
  <w:footnote w:type="continuationSeparator" w:id="0">
    <w:p w:rsidR="00B40EAD" w:rsidRDefault="00B40EAD" w:rsidP="00010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">
    <w:nsid w:val="00C776E2"/>
    <w:multiLevelType w:val="hybridMultilevel"/>
    <w:tmpl w:val="B8D8B6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C33E5"/>
    <w:multiLevelType w:val="hybridMultilevel"/>
    <w:tmpl w:val="2F10C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26D33"/>
    <w:multiLevelType w:val="hybridMultilevel"/>
    <w:tmpl w:val="FA52AE1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60CF0"/>
    <w:multiLevelType w:val="hybridMultilevel"/>
    <w:tmpl w:val="8D706644"/>
    <w:lvl w:ilvl="0" w:tplc="0040D254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B1C9E"/>
    <w:multiLevelType w:val="hybridMultilevel"/>
    <w:tmpl w:val="79BCBB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B3D80"/>
    <w:multiLevelType w:val="hybridMultilevel"/>
    <w:tmpl w:val="36C227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5521C"/>
    <w:multiLevelType w:val="hybridMultilevel"/>
    <w:tmpl w:val="05CCB860"/>
    <w:lvl w:ilvl="0" w:tplc="6E065C4A">
      <w:start w:val="1"/>
      <w:numFmt w:val="lowerLetter"/>
      <w:lvlText w:val="%1)"/>
      <w:lvlJc w:val="left"/>
      <w:pPr>
        <w:ind w:left="855" w:hanging="49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1117C"/>
    <w:multiLevelType w:val="hybridMultilevel"/>
    <w:tmpl w:val="0EEA98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96"/>
    <w:rsid w:val="00000F31"/>
    <w:rsid w:val="00010F93"/>
    <w:rsid w:val="000112B1"/>
    <w:rsid w:val="000204B4"/>
    <w:rsid w:val="0003044D"/>
    <w:rsid w:val="00032590"/>
    <w:rsid w:val="00050A12"/>
    <w:rsid w:val="00053BB0"/>
    <w:rsid w:val="000547F0"/>
    <w:rsid w:val="000732FB"/>
    <w:rsid w:val="00074C1D"/>
    <w:rsid w:val="000B7E1B"/>
    <w:rsid w:val="000C3123"/>
    <w:rsid w:val="000D5F14"/>
    <w:rsid w:val="000E5A49"/>
    <w:rsid w:val="000F17EE"/>
    <w:rsid w:val="0010354F"/>
    <w:rsid w:val="00104E64"/>
    <w:rsid w:val="00133A75"/>
    <w:rsid w:val="00147E34"/>
    <w:rsid w:val="00162CDF"/>
    <w:rsid w:val="00177AA3"/>
    <w:rsid w:val="00184480"/>
    <w:rsid w:val="00186586"/>
    <w:rsid w:val="00187E8A"/>
    <w:rsid w:val="001A2A99"/>
    <w:rsid w:val="001A3DB0"/>
    <w:rsid w:val="001D0F78"/>
    <w:rsid w:val="001D7DBD"/>
    <w:rsid w:val="001F3992"/>
    <w:rsid w:val="001F5196"/>
    <w:rsid w:val="001F53AC"/>
    <w:rsid w:val="001F757F"/>
    <w:rsid w:val="001F7BC8"/>
    <w:rsid w:val="00214831"/>
    <w:rsid w:val="00223589"/>
    <w:rsid w:val="00227C0A"/>
    <w:rsid w:val="00227D9A"/>
    <w:rsid w:val="002352FC"/>
    <w:rsid w:val="00253450"/>
    <w:rsid w:val="00257C14"/>
    <w:rsid w:val="00266F3A"/>
    <w:rsid w:val="00275443"/>
    <w:rsid w:val="002810F1"/>
    <w:rsid w:val="00297DC5"/>
    <w:rsid w:val="002B6FA9"/>
    <w:rsid w:val="002C56C9"/>
    <w:rsid w:val="002E25B1"/>
    <w:rsid w:val="002F3630"/>
    <w:rsid w:val="00314784"/>
    <w:rsid w:val="0032025F"/>
    <w:rsid w:val="00327946"/>
    <w:rsid w:val="0033348B"/>
    <w:rsid w:val="003536AA"/>
    <w:rsid w:val="00364C18"/>
    <w:rsid w:val="0036582A"/>
    <w:rsid w:val="00367442"/>
    <w:rsid w:val="00374350"/>
    <w:rsid w:val="00383780"/>
    <w:rsid w:val="00384BDC"/>
    <w:rsid w:val="00386887"/>
    <w:rsid w:val="0039026F"/>
    <w:rsid w:val="003929C0"/>
    <w:rsid w:val="00393FFF"/>
    <w:rsid w:val="0039570D"/>
    <w:rsid w:val="0039598B"/>
    <w:rsid w:val="00397786"/>
    <w:rsid w:val="003A79CD"/>
    <w:rsid w:val="003B15B5"/>
    <w:rsid w:val="003B5AEC"/>
    <w:rsid w:val="003B799B"/>
    <w:rsid w:val="003C79B1"/>
    <w:rsid w:val="003E2D28"/>
    <w:rsid w:val="003E6B77"/>
    <w:rsid w:val="003F0737"/>
    <w:rsid w:val="004027B2"/>
    <w:rsid w:val="00405FA9"/>
    <w:rsid w:val="00415C7D"/>
    <w:rsid w:val="00426DCF"/>
    <w:rsid w:val="00436275"/>
    <w:rsid w:val="00457251"/>
    <w:rsid w:val="00471BB7"/>
    <w:rsid w:val="00475327"/>
    <w:rsid w:val="00490238"/>
    <w:rsid w:val="004929D1"/>
    <w:rsid w:val="004940FD"/>
    <w:rsid w:val="004A4FF6"/>
    <w:rsid w:val="004A5D0E"/>
    <w:rsid w:val="004D027D"/>
    <w:rsid w:val="004E5593"/>
    <w:rsid w:val="004E77F7"/>
    <w:rsid w:val="004F60AA"/>
    <w:rsid w:val="00503441"/>
    <w:rsid w:val="005053EC"/>
    <w:rsid w:val="00506D99"/>
    <w:rsid w:val="0051208C"/>
    <w:rsid w:val="00512F6F"/>
    <w:rsid w:val="00514921"/>
    <w:rsid w:val="0051671B"/>
    <w:rsid w:val="00517BF2"/>
    <w:rsid w:val="005228A1"/>
    <w:rsid w:val="00524FA9"/>
    <w:rsid w:val="00526D91"/>
    <w:rsid w:val="00540EFE"/>
    <w:rsid w:val="0054764C"/>
    <w:rsid w:val="00587587"/>
    <w:rsid w:val="005904CB"/>
    <w:rsid w:val="005A490D"/>
    <w:rsid w:val="005A64D7"/>
    <w:rsid w:val="005C6AB5"/>
    <w:rsid w:val="005D0C7A"/>
    <w:rsid w:val="005F1DD1"/>
    <w:rsid w:val="005F646F"/>
    <w:rsid w:val="005F69CA"/>
    <w:rsid w:val="00612C7F"/>
    <w:rsid w:val="00615EDC"/>
    <w:rsid w:val="0061623C"/>
    <w:rsid w:val="006178E5"/>
    <w:rsid w:val="00621114"/>
    <w:rsid w:val="006612E5"/>
    <w:rsid w:val="006732EB"/>
    <w:rsid w:val="00674451"/>
    <w:rsid w:val="00675BF8"/>
    <w:rsid w:val="0067663C"/>
    <w:rsid w:val="0068397D"/>
    <w:rsid w:val="006851DB"/>
    <w:rsid w:val="006B24A4"/>
    <w:rsid w:val="006C48E5"/>
    <w:rsid w:val="006E5F60"/>
    <w:rsid w:val="006F749B"/>
    <w:rsid w:val="00700F7E"/>
    <w:rsid w:val="00705579"/>
    <w:rsid w:val="00705F83"/>
    <w:rsid w:val="00713F36"/>
    <w:rsid w:val="00720A24"/>
    <w:rsid w:val="0073283E"/>
    <w:rsid w:val="00741481"/>
    <w:rsid w:val="00742CA6"/>
    <w:rsid w:val="00745761"/>
    <w:rsid w:val="0074661B"/>
    <w:rsid w:val="00753FAA"/>
    <w:rsid w:val="00771A48"/>
    <w:rsid w:val="007771EE"/>
    <w:rsid w:val="00791144"/>
    <w:rsid w:val="00794189"/>
    <w:rsid w:val="007A0D6B"/>
    <w:rsid w:val="007A4FA8"/>
    <w:rsid w:val="007C6201"/>
    <w:rsid w:val="007C6947"/>
    <w:rsid w:val="007D6AB1"/>
    <w:rsid w:val="007E642D"/>
    <w:rsid w:val="00807196"/>
    <w:rsid w:val="0081429C"/>
    <w:rsid w:val="00825523"/>
    <w:rsid w:val="00843217"/>
    <w:rsid w:val="0085782D"/>
    <w:rsid w:val="00865A12"/>
    <w:rsid w:val="00865F79"/>
    <w:rsid w:val="008714F2"/>
    <w:rsid w:val="00875528"/>
    <w:rsid w:val="00877F28"/>
    <w:rsid w:val="00882CCC"/>
    <w:rsid w:val="008844E7"/>
    <w:rsid w:val="00885B39"/>
    <w:rsid w:val="008A0ABB"/>
    <w:rsid w:val="008B7346"/>
    <w:rsid w:val="008B7907"/>
    <w:rsid w:val="008D160D"/>
    <w:rsid w:val="008E602E"/>
    <w:rsid w:val="008F3D5D"/>
    <w:rsid w:val="008F6B86"/>
    <w:rsid w:val="00920A73"/>
    <w:rsid w:val="009222B5"/>
    <w:rsid w:val="009332CD"/>
    <w:rsid w:val="009358C2"/>
    <w:rsid w:val="00947331"/>
    <w:rsid w:val="0095665D"/>
    <w:rsid w:val="00964F22"/>
    <w:rsid w:val="0097402C"/>
    <w:rsid w:val="009769E3"/>
    <w:rsid w:val="009771F6"/>
    <w:rsid w:val="009825CB"/>
    <w:rsid w:val="009843F3"/>
    <w:rsid w:val="00987931"/>
    <w:rsid w:val="00987F96"/>
    <w:rsid w:val="00992642"/>
    <w:rsid w:val="009C1CC7"/>
    <w:rsid w:val="009D01DD"/>
    <w:rsid w:val="009D6AEE"/>
    <w:rsid w:val="009E75C8"/>
    <w:rsid w:val="00A0337E"/>
    <w:rsid w:val="00A0763E"/>
    <w:rsid w:val="00A118D5"/>
    <w:rsid w:val="00A146E4"/>
    <w:rsid w:val="00A1565A"/>
    <w:rsid w:val="00A1632F"/>
    <w:rsid w:val="00A40E5B"/>
    <w:rsid w:val="00A45EB6"/>
    <w:rsid w:val="00A81FDA"/>
    <w:rsid w:val="00A86691"/>
    <w:rsid w:val="00AA08EE"/>
    <w:rsid w:val="00AA17B5"/>
    <w:rsid w:val="00AA5194"/>
    <w:rsid w:val="00AB2920"/>
    <w:rsid w:val="00AB548D"/>
    <w:rsid w:val="00AC63A2"/>
    <w:rsid w:val="00AD1E95"/>
    <w:rsid w:val="00AE4596"/>
    <w:rsid w:val="00B058B5"/>
    <w:rsid w:val="00B257E4"/>
    <w:rsid w:val="00B26858"/>
    <w:rsid w:val="00B373DD"/>
    <w:rsid w:val="00B40EAD"/>
    <w:rsid w:val="00B42073"/>
    <w:rsid w:val="00B5111A"/>
    <w:rsid w:val="00B52894"/>
    <w:rsid w:val="00B61386"/>
    <w:rsid w:val="00B62EDD"/>
    <w:rsid w:val="00B76414"/>
    <w:rsid w:val="00B81AA5"/>
    <w:rsid w:val="00B824CE"/>
    <w:rsid w:val="00BA45C9"/>
    <w:rsid w:val="00BB27C1"/>
    <w:rsid w:val="00BC022A"/>
    <w:rsid w:val="00BC78FB"/>
    <w:rsid w:val="00BD069B"/>
    <w:rsid w:val="00BD5B95"/>
    <w:rsid w:val="00BE29EE"/>
    <w:rsid w:val="00BE3E01"/>
    <w:rsid w:val="00BE6609"/>
    <w:rsid w:val="00BF0932"/>
    <w:rsid w:val="00C159B3"/>
    <w:rsid w:val="00C2677D"/>
    <w:rsid w:val="00C348AB"/>
    <w:rsid w:val="00C365F7"/>
    <w:rsid w:val="00C478EE"/>
    <w:rsid w:val="00C55F38"/>
    <w:rsid w:val="00C56411"/>
    <w:rsid w:val="00C822C7"/>
    <w:rsid w:val="00C85654"/>
    <w:rsid w:val="00CA1A1C"/>
    <w:rsid w:val="00CB48F3"/>
    <w:rsid w:val="00CB4C2A"/>
    <w:rsid w:val="00CC31B9"/>
    <w:rsid w:val="00CC7EE7"/>
    <w:rsid w:val="00CD3867"/>
    <w:rsid w:val="00CD6B28"/>
    <w:rsid w:val="00CE140F"/>
    <w:rsid w:val="00CF353A"/>
    <w:rsid w:val="00D04172"/>
    <w:rsid w:val="00D1798A"/>
    <w:rsid w:val="00D3328C"/>
    <w:rsid w:val="00D37A5B"/>
    <w:rsid w:val="00D37C8B"/>
    <w:rsid w:val="00D4704B"/>
    <w:rsid w:val="00D553D3"/>
    <w:rsid w:val="00D56B89"/>
    <w:rsid w:val="00D64073"/>
    <w:rsid w:val="00D70A5B"/>
    <w:rsid w:val="00D823A7"/>
    <w:rsid w:val="00D908D4"/>
    <w:rsid w:val="00D974CD"/>
    <w:rsid w:val="00DA1D1C"/>
    <w:rsid w:val="00DA7D26"/>
    <w:rsid w:val="00DB5781"/>
    <w:rsid w:val="00DC0709"/>
    <w:rsid w:val="00DC4EF4"/>
    <w:rsid w:val="00DD7AE7"/>
    <w:rsid w:val="00DE2E95"/>
    <w:rsid w:val="00DE4F81"/>
    <w:rsid w:val="00DE7095"/>
    <w:rsid w:val="00DE7452"/>
    <w:rsid w:val="00DF030A"/>
    <w:rsid w:val="00DF4264"/>
    <w:rsid w:val="00DF4DDC"/>
    <w:rsid w:val="00E07660"/>
    <w:rsid w:val="00E14D53"/>
    <w:rsid w:val="00E17178"/>
    <w:rsid w:val="00E2139A"/>
    <w:rsid w:val="00E23BD9"/>
    <w:rsid w:val="00E3273E"/>
    <w:rsid w:val="00E32E0B"/>
    <w:rsid w:val="00E3482B"/>
    <w:rsid w:val="00E40089"/>
    <w:rsid w:val="00E40A7E"/>
    <w:rsid w:val="00E60DD1"/>
    <w:rsid w:val="00E678C5"/>
    <w:rsid w:val="00E806FC"/>
    <w:rsid w:val="00E830C7"/>
    <w:rsid w:val="00E87B1E"/>
    <w:rsid w:val="00EA6E80"/>
    <w:rsid w:val="00EA7AA3"/>
    <w:rsid w:val="00EB37C2"/>
    <w:rsid w:val="00EB426B"/>
    <w:rsid w:val="00EC2B1C"/>
    <w:rsid w:val="00ED1944"/>
    <w:rsid w:val="00EE2B3C"/>
    <w:rsid w:val="00EF62C8"/>
    <w:rsid w:val="00F035CA"/>
    <w:rsid w:val="00F062B9"/>
    <w:rsid w:val="00F17784"/>
    <w:rsid w:val="00F26FBB"/>
    <w:rsid w:val="00F332F6"/>
    <w:rsid w:val="00F405AC"/>
    <w:rsid w:val="00F55BC0"/>
    <w:rsid w:val="00F61451"/>
    <w:rsid w:val="00F6204F"/>
    <w:rsid w:val="00F87334"/>
    <w:rsid w:val="00F93FB1"/>
    <w:rsid w:val="00FA21CC"/>
    <w:rsid w:val="00FB3942"/>
    <w:rsid w:val="00FD617C"/>
    <w:rsid w:val="00FE4733"/>
    <w:rsid w:val="00FF291D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4596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70A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70A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9"/>
    <w:semiHidden/>
    <w:unhideWhenUsed/>
    <w:qFormat/>
    <w:rsid w:val="00AE4596"/>
    <w:pPr>
      <w:keepNext/>
      <w:pBdr>
        <w:bottom w:val="single" w:sz="12" w:space="1" w:color="auto"/>
      </w:pBdr>
      <w:jc w:val="center"/>
      <w:outlineLvl w:val="7"/>
    </w:pPr>
    <w:rPr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uiPriority w:val="99"/>
    <w:semiHidden/>
    <w:rsid w:val="00AE4596"/>
    <w:rPr>
      <w:rFonts w:ascii="Arial" w:eastAsia="Times New Roman" w:hAnsi="Arial" w:cs="Arial"/>
      <w:b/>
      <w:sz w:val="32"/>
      <w:szCs w:val="36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AE4596"/>
    <w:pPr>
      <w:spacing w:before="100" w:beforeAutospacing="1" w:after="100" w:afterAutospacing="1"/>
    </w:pPr>
    <w:rPr>
      <w:rFonts w:ascii="Times New Roman" w:hAnsi="Times New Roman" w:cs="Times New Roman"/>
      <w:szCs w:val="24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70A5B"/>
    <w:rPr>
      <w:rFonts w:asciiTheme="majorHAnsi" w:eastAsiaTheme="majorEastAsia" w:hAnsiTheme="majorHAnsi" w:cstheme="majorBidi"/>
      <w:b/>
      <w:bCs/>
      <w:color w:val="4F81BD" w:themeColor="accent1"/>
      <w:sz w:val="24"/>
      <w:szCs w:val="36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70A5B"/>
    <w:rPr>
      <w:rFonts w:asciiTheme="majorHAnsi" w:eastAsiaTheme="majorEastAsia" w:hAnsiTheme="majorHAnsi" w:cstheme="majorBidi"/>
      <w:color w:val="243F60" w:themeColor="accent1" w:themeShade="7F"/>
      <w:sz w:val="24"/>
      <w:szCs w:val="36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70A5B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font120"/>
      <w:kern w:val="2"/>
      <w:sz w:val="22"/>
      <w:szCs w:val="22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D70A5B"/>
    <w:rPr>
      <w:rFonts w:ascii="Calibri" w:eastAsia="Lucida Sans Unicode" w:hAnsi="Calibri" w:cs="font120"/>
      <w:kern w:val="2"/>
      <w:lang w:eastAsia="ar-SA"/>
    </w:rPr>
  </w:style>
  <w:style w:type="paragraph" w:styleId="Bezriadkovania">
    <w:name w:val="No Spacing"/>
    <w:uiPriority w:val="1"/>
    <w:qFormat/>
    <w:rsid w:val="00D70A5B"/>
    <w:pPr>
      <w:suppressAutoHyphens/>
      <w:spacing w:after="0" w:line="240" w:lineRule="auto"/>
    </w:pPr>
    <w:rPr>
      <w:rFonts w:ascii="Calibri" w:eastAsia="Lucida Sans Unicode" w:hAnsi="Calibri" w:cs="font120"/>
      <w:kern w:val="2"/>
      <w:lang w:eastAsia="ar-SA"/>
    </w:rPr>
  </w:style>
  <w:style w:type="paragraph" w:customStyle="1" w:styleId="Bezriadkovania1">
    <w:name w:val="Bez riadkovania1"/>
    <w:rsid w:val="00D70A5B"/>
    <w:pPr>
      <w:suppressAutoHyphens/>
      <w:spacing w:after="0" w:line="100" w:lineRule="atLeast"/>
    </w:pPr>
    <w:rPr>
      <w:rFonts w:ascii="Calibri" w:eastAsia="Lucida Sans Unicode" w:hAnsi="Calibri" w:cs="font120"/>
      <w:kern w:val="2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0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0A5B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10F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0F93"/>
    <w:rPr>
      <w:rFonts w:ascii="Arial" w:eastAsia="Times New Roman" w:hAnsi="Arial" w:cs="Arial"/>
      <w:sz w:val="24"/>
      <w:szCs w:val="36"/>
      <w:lang w:eastAsia="cs-CZ"/>
    </w:rPr>
  </w:style>
  <w:style w:type="paragraph" w:styleId="Odsekzoznamu">
    <w:name w:val="List Paragraph"/>
    <w:basedOn w:val="Normlny"/>
    <w:uiPriority w:val="34"/>
    <w:qFormat/>
    <w:rsid w:val="00E17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4596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70A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70A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9"/>
    <w:semiHidden/>
    <w:unhideWhenUsed/>
    <w:qFormat/>
    <w:rsid w:val="00AE4596"/>
    <w:pPr>
      <w:keepNext/>
      <w:pBdr>
        <w:bottom w:val="single" w:sz="12" w:space="1" w:color="auto"/>
      </w:pBdr>
      <w:jc w:val="center"/>
      <w:outlineLvl w:val="7"/>
    </w:pPr>
    <w:rPr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uiPriority w:val="99"/>
    <w:semiHidden/>
    <w:rsid w:val="00AE4596"/>
    <w:rPr>
      <w:rFonts w:ascii="Arial" w:eastAsia="Times New Roman" w:hAnsi="Arial" w:cs="Arial"/>
      <w:b/>
      <w:sz w:val="32"/>
      <w:szCs w:val="36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AE4596"/>
    <w:pPr>
      <w:spacing w:before="100" w:beforeAutospacing="1" w:after="100" w:afterAutospacing="1"/>
    </w:pPr>
    <w:rPr>
      <w:rFonts w:ascii="Times New Roman" w:hAnsi="Times New Roman" w:cs="Times New Roman"/>
      <w:szCs w:val="24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70A5B"/>
    <w:rPr>
      <w:rFonts w:asciiTheme="majorHAnsi" w:eastAsiaTheme="majorEastAsia" w:hAnsiTheme="majorHAnsi" w:cstheme="majorBidi"/>
      <w:b/>
      <w:bCs/>
      <w:color w:val="4F81BD" w:themeColor="accent1"/>
      <w:sz w:val="24"/>
      <w:szCs w:val="36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70A5B"/>
    <w:rPr>
      <w:rFonts w:asciiTheme="majorHAnsi" w:eastAsiaTheme="majorEastAsia" w:hAnsiTheme="majorHAnsi" w:cstheme="majorBidi"/>
      <w:color w:val="243F60" w:themeColor="accent1" w:themeShade="7F"/>
      <w:sz w:val="24"/>
      <w:szCs w:val="36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70A5B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font120"/>
      <w:kern w:val="2"/>
      <w:sz w:val="22"/>
      <w:szCs w:val="22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D70A5B"/>
    <w:rPr>
      <w:rFonts w:ascii="Calibri" w:eastAsia="Lucida Sans Unicode" w:hAnsi="Calibri" w:cs="font120"/>
      <w:kern w:val="2"/>
      <w:lang w:eastAsia="ar-SA"/>
    </w:rPr>
  </w:style>
  <w:style w:type="paragraph" w:styleId="Bezriadkovania">
    <w:name w:val="No Spacing"/>
    <w:uiPriority w:val="1"/>
    <w:qFormat/>
    <w:rsid w:val="00D70A5B"/>
    <w:pPr>
      <w:suppressAutoHyphens/>
      <w:spacing w:after="0" w:line="240" w:lineRule="auto"/>
    </w:pPr>
    <w:rPr>
      <w:rFonts w:ascii="Calibri" w:eastAsia="Lucida Sans Unicode" w:hAnsi="Calibri" w:cs="font120"/>
      <w:kern w:val="2"/>
      <w:lang w:eastAsia="ar-SA"/>
    </w:rPr>
  </w:style>
  <w:style w:type="paragraph" w:customStyle="1" w:styleId="Bezriadkovania1">
    <w:name w:val="Bez riadkovania1"/>
    <w:rsid w:val="00D70A5B"/>
    <w:pPr>
      <w:suppressAutoHyphens/>
      <w:spacing w:after="0" w:line="100" w:lineRule="atLeast"/>
    </w:pPr>
    <w:rPr>
      <w:rFonts w:ascii="Calibri" w:eastAsia="Lucida Sans Unicode" w:hAnsi="Calibri" w:cs="font120"/>
      <w:kern w:val="2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0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0A5B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10F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0F93"/>
    <w:rPr>
      <w:rFonts w:ascii="Arial" w:eastAsia="Times New Roman" w:hAnsi="Arial" w:cs="Arial"/>
      <w:sz w:val="24"/>
      <w:szCs w:val="36"/>
      <w:lang w:eastAsia="cs-CZ"/>
    </w:rPr>
  </w:style>
  <w:style w:type="paragraph" w:styleId="Odsekzoznamu">
    <w:name w:val="List Paragraph"/>
    <w:basedOn w:val="Normlny"/>
    <w:uiPriority w:val="34"/>
    <w:qFormat/>
    <w:rsid w:val="00E17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Pracovn__h_rok_programu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50"/>
            </a:pPr>
            <a:r>
              <a:rPr lang="en-US" sz="1050"/>
              <a:t>Grafické vyjadrenie </a:t>
            </a:r>
            <a:r>
              <a:rPr lang="sk-SK" sz="1050"/>
              <a:t>jednotlivých </a:t>
            </a:r>
            <a:r>
              <a:rPr lang="en-US" sz="1050"/>
              <a:t> podaní</a:t>
            </a:r>
          </a:p>
        </c:rich>
      </c:tx>
      <c:layout>
        <c:manualLayout>
          <c:xMode val="edge"/>
          <c:yMode val="edge"/>
          <c:x val="0.1411620217956398"/>
          <c:y val="6.6965166958587027E-3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054943248988768"/>
          <c:y val="0.24719584146689186"/>
          <c:w val="0.64208595800524937"/>
          <c:h val="0.64767096821230674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pattFill prst="lgConfetti">
                <a:fgClr>
                  <a:schemeClr val="accent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</c:dPt>
          <c:dPt>
            <c:idx val="1"/>
            <c:bubble3D val="0"/>
            <c:spPr>
              <a:pattFill prst="pct90">
                <a:fgClr>
                  <a:schemeClr val="accent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</c:dPt>
          <c:dPt>
            <c:idx val="2"/>
            <c:bubble3D val="0"/>
            <c:spPr>
              <a:pattFill prst="lgCheck">
                <a:fgClr>
                  <a:schemeClr val="accent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0.1234675106424712"/>
                  <c:y val="3.83698845845601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sťažnosti
</a:t>
                    </a:r>
                    <a:r>
                      <a:rPr lang="sk-SK"/>
                      <a:t>14,3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9.0624906121828681E-3"/>
                  <c:y val="0.1837811825022699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petície 
</a:t>
                    </a:r>
                    <a:r>
                      <a:rPr lang="sk-SK"/>
                      <a:t>2,7%</a:t>
                    </a:r>
                    <a:endParaRPr lang="en-US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9.1507758533857106E-2"/>
                  <c:y val="-9.6286892493014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iné podania
</a:t>
                    </a:r>
                    <a:r>
                      <a:rPr lang="sk-SK"/>
                      <a:t>83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Hárok1!$A$6:$A$8</c:f>
              <c:strCache>
                <c:ptCount val="3"/>
                <c:pt idx="0">
                  <c:v>sťažnosti</c:v>
                </c:pt>
                <c:pt idx="1">
                  <c:v>petície </c:v>
                </c:pt>
                <c:pt idx="2">
                  <c:v>iné podania</c:v>
                </c:pt>
              </c:strCache>
            </c:strRef>
          </c:cat>
          <c:val>
            <c:numRef>
              <c:f>Hárok1!$B$6:$B$8</c:f>
              <c:numCache>
                <c:formatCode>General</c:formatCode>
                <c:ptCount val="3"/>
                <c:pt idx="0">
                  <c:v>32</c:v>
                </c:pt>
                <c:pt idx="1">
                  <c:v>6</c:v>
                </c:pt>
                <c:pt idx="2">
                  <c:v>185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CAD7-C7EA-4B65-A62E-97469917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jdurco</dc:creator>
  <cp:lastModifiedBy>Zuzana Lovíšková</cp:lastModifiedBy>
  <cp:revision>2</cp:revision>
  <cp:lastPrinted>2013-04-03T10:30:00Z</cp:lastPrinted>
  <dcterms:created xsi:type="dcterms:W3CDTF">2013-04-09T12:45:00Z</dcterms:created>
  <dcterms:modified xsi:type="dcterms:W3CDTF">2013-04-09T12:45:00Z</dcterms:modified>
</cp:coreProperties>
</file>